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00000"/>
          <w:sz w:val="30"/>
          <w:szCs w:val="30"/>
        </w:rPr>
        <w:t xml:space="preserve">[DÉNOMINATION DE LA SOCIÉTÉ]</w:t>
      </w:r>
    </w:p>
    <w:p>
      <w:pPr>
        <w:spacing w:after="30"/>
        <w:jc w:val="center"/>
      </w:pPr>
      <w:r>
        <w:rPr>
          <w:color w:val="333333"/>
          <w:sz w:val="22"/>
          <w:szCs w:val="22"/>
        </w:rPr>
        <w:t xml:space="preserve">Société par actions simplifiée</w:t>
      </w:r>
    </w:p>
    <w:p>
      <w:pPr>
        <w:spacing w:after="60"/>
        <w:jc w:val="center"/>
      </w:pPr>
      <w:r>
        <w:rPr>
          <w:color w:val="333333"/>
          <w:sz w:val="22"/>
          <w:szCs w:val="22"/>
        </w:rPr>
        <w:t xml:space="preserve">au capital de [•] €</w:t>
      </w:r>
    </w:p>
    <w:p>
      <w:pPr>
        <w:spacing w:after="120"/>
        <w:jc w:val="center"/>
      </w:pPr>
      <w:r>
        <w:rPr>
          <w:color w:val="555555"/>
          <w:sz w:val="20"/>
          <w:szCs w:val="20"/>
        </w:rPr>
        <w:t xml:space="preserve">Siège social : [•]</w:t>
      </w:r>
    </w:p>
    <w:p>
      <w:pPr>
        <w:spacing w:after="60" w:before="600"/>
        <w:jc w:val="center"/>
      </w:pPr>
      <w:r>
        <w:rPr>
          <w:b/>
          <w:bCs/>
          <w:color w:val="1F3864"/>
          <w:sz w:val="52"/>
          <w:szCs w:val="52"/>
        </w:rPr>
        <w:t xml:space="preserve">STATUTS</w:t>
      </w:r>
    </w:p>
    <w:p>
      <w:pPr>
        <w:spacing w:after="600"/>
        <w:jc w:val="center"/>
      </w:pPr>
      <w:r>
        <w:rPr>
          <w:i/>
          <w:iCs/>
          <w:color w:val="555555"/>
          <w:sz w:val="20"/>
          <w:szCs w:val="20"/>
        </w:rPr>
        <w:t xml:space="preserve">[mis à jour le [•]]</w:t>
      </w:r>
    </w:p>
    <w:p>
      <w:pPr>
        <w:jc w:val="center"/>
      </w:pPr>
      <w:r>
        <w:rPr>
          <w:i/>
          <w:iCs/>
          <w:color w:val="555555"/>
          <w:sz w:val="18"/>
          <w:szCs w:val="18"/>
        </w:rPr>
        <w:t xml:space="preserve">Certifiés conformes par le Président</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pacing w:after="120" w:line="276"/>
        <w:jc w:val="both"/>
      </w:pPr>
      <w:r>
        <w:t xml:space="preserve">Les soussignés, </w:t>
      </w:r>
      <w:r>
        <w:rPr>
          <w:b/>
          <w:bCs/>
          <w:color w:val="C00000"/>
        </w:rPr>
        <w:t xml:space="preserve">[IDENTITÉ DES ASSOCIÉS FONDATEURS]</w:t>
      </w:r>
      <w:r>
        <w:t xml:space="preserve">, ont établi ainsi qu’il suit les statuts de la société par actions simplifiée qu’ils sont convenus de constituer [ou : les statuts mis à jour de la Société].</w:t>
      </w:r>
    </w:p>
    <w:p>
      <w:pPr>
        <w:pStyle w:val="Heading1"/>
      </w:pPr>
      <w:r>
        <w:t xml:space="preserve">Titre I – Forme – Objet – Dénomination – Siège – Durée</w:t>
      </w:r>
    </w:p>
    <w:p>
      <w:pPr>
        <w:pStyle w:val="Heading2"/>
      </w:pPr>
      <w:r>
        <w:t xml:space="preserve">Article 1 – Forme</w:t>
      </w:r>
    </w:p>
    <w:p>
      <w:pPr>
        <w:spacing w:after="120" w:line="276"/>
        <w:jc w:val="both"/>
      </w:pPr>
      <w:r>
        <w:t xml:space="preserve">La Société est une société par actions simplifiée régie par les dispositions légales et réglementaires applicables et par les présents statuts. Elle peut comporter un ou plusieurs associés. Elle ne peut procéder à une offre au public de titres financiers que dans les conditions autorisées par la loi.</w:t>
      </w:r>
    </w:p>
    <w:p>
      <w:pPr>
        <w:pStyle w:val="Heading2"/>
      </w:pPr>
      <w:r>
        <w:t xml:space="preserve">Article 2 – Objet</w:t>
      </w:r>
    </w:p>
    <w:p>
      <w:pPr>
        <w:spacing w:after="120" w:line="276"/>
        <w:jc w:val="both"/>
      </w:pPr>
      <w:r>
        <w:t xml:space="preserve">La Société a pour objet, en France et à l’étranger : [•] ; et, plus généralement, toutes opérations industrielles, commerciales, financières, mobilières ou immobilières se rattachant directement ou indirectement à cet objet ou susceptibles d’en faciliter la réalisation.</w:t>
      </w:r>
    </w:p>
    <w:p>
      <w:pPr>
        <w:pStyle w:val="Heading2"/>
      </w:pPr>
      <w:r>
        <w:t xml:space="preserve">Article 3 – Dénomination</w:t>
      </w:r>
    </w:p>
    <w:p>
      <w:pPr>
        <w:spacing w:after="120" w:line="276"/>
        <w:jc w:val="both"/>
      </w:pPr>
      <w:r>
        <w:t xml:space="preserve">La dénomination sociale est : </w:t>
      </w:r>
      <w:r>
        <w:rPr>
          <w:b/>
          <w:bCs/>
          <w:color w:val="C00000"/>
        </w:rPr>
        <w:t xml:space="preserve">[•]</w:t>
      </w:r>
      <w:r>
        <w:t xml:space="preserve">. Tous actes et documents émanant de la Société doivent indiquer la dénomination précédée ou suivie des mots « société par actions simplifiée » ou « SAS » et de l’énonciation du capital social.</w:t>
      </w:r>
    </w:p>
    <w:p>
      <w:pPr>
        <w:pStyle w:val="Heading2"/>
      </w:pPr>
      <w:r>
        <w:t xml:space="preserve">Article 4 – Siège social</w:t>
      </w:r>
    </w:p>
    <w:p>
      <w:pPr>
        <w:spacing w:after="120" w:line="276"/>
        <w:jc w:val="both"/>
      </w:pPr>
      <w:r>
        <w:t xml:space="preserve">Le siège social est fixé à </w:t>
      </w:r>
      <w:r>
        <w:rPr>
          <w:b/>
          <w:bCs/>
          <w:color w:val="C00000"/>
        </w:rPr>
        <w:t xml:space="preserve">[ADRESSE]</w:t>
      </w:r>
      <w:r>
        <w:t xml:space="preserve">. Il peut être transféré par décision du Président, sous réserve de ratification [le cas échéant] par les associés.</w:t>
      </w:r>
    </w:p>
    <w:p>
      <w:pPr>
        <w:pStyle w:val="Heading2"/>
      </w:pPr>
      <w:r>
        <w:t xml:space="preserve">Article 5 – Durée</w:t>
      </w:r>
    </w:p>
    <w:p>
      <w:pPr>
        <w:spacing w:after="120" w:line="276"/>
        <w:jc w:val="both"/>
      </w:pPr>
      <w:r>
        <w:t xml:space="preserve">La durée de la Société est de [99] années à compter de son immatriculation au registre du commerce et des sociétés, sauf dissolution anticipée ou prorogation.</w:t>
      </w:r>
    </w:p>
    <w:p>
      <w:pPr>
        <w:pStyle w:val="Heading1"/>
      </w:pPr>
      <w:r>
        <w:t xml:space="preserve">Titre II – Apports – Capital – Actions</w:t>
      </w:r>
    </w:p>
    <w:p>
      <w:pPr>
        <w:pStyle w:val="Heading2"/>
      </w:pPr>
      <w:r>
        <w:t xml:space="preserve">Article 6 – Apports</w:t>
      </w:r>
    </w:p>
    <w:p>
      <w:pPr>
        <w:spacing w:after="120" w:line="276"/>
        <w:jc w:val="both"/>
      </w:pPr>
      <w:r>
        <w:t xml:space="preserve">Il a été apporté à la Société : à la constitution, une somme de [•] € en numéraire ; [le cas échéant, des apports en nature évalués à [•] €]. Lors des augmentations de capital successives, il a été apporté les sommes figurant à l’état des apports.</w:t>
      </w:r>
    </w:p>
    <w:p>
      <w:pPr>
        <w:pStyle w:val="Heading2"/>
      </w:pPr>
      <w:r>
        <w:t xml:space="preserve">Article 7 – Capital social</w:t>
      </w:r>
    </w:p>
    <w:p>
      <w:pPr>
        <w:spacing w:after="120" w:line="276"/>
        <w:jc w:val="both"/>
      </w:pPr>
      <w:r>
        <w:t xml:space="preserve">Le capital social est fixé à la somme de </w:t>
      </w:r>
      <w:r>
        <w:rPr>
          <w:b/>
          <w:bCs/>
          <w:color w:val="C00000"/>
        </w:rPr>
        <w:t xml:space="preserve">[•] €</w:t>
      </w:r>
      <w:r>
        <w:t xml:space="preserve">. Il est divisé en </w:t>
      </w:r>
      <w:r>
        <w:rPr>
          <w:b/>
          <w:bCs/>
          <w:color w:val="C00000"/>
        </w:rPr>
        <w:t xml:space="preserve">[•]</w:t>
      </w:r>
      <w:r>
        <w:t xml:space="preserve"> actions d’une valeur nominale de </w:t>
      </w:r>
      <w:r>
        <w:rPr>
          <w:b/>
          <w:bCs/>
          <w:color w:val="C00000"/>
        </w:rPr>
        <w:t xml:space="preserve">[•] €</w:t>
      </w:r>
      <w:r>
        <w:t xml:space="preserve"> chacune, intégralement libérées, réparties en : </w:t>
      </w:r>
      <w:r>
        <w:rPr>
          <w:b/>
          <w:bCs/>
          <w:color w:val="C00000"/>
        </w:rPr>
        <w:t xml:space="preserve">[•]</w:t>
      </w:r>
      <w:r>
        <w:t xml:space="preserve"> actions ordinaires et </w:t>
      </w:r>
      <w:r>
        <w:rPr>
          <w:b/>
          <w:bCs/>
          <w:color w:val="C00000"/>
        </w:rPr>
        <w:t xml:space="preserve">[•]</w:t>
      </w:r>
      <w:r>
        <w:t xml:space="preserve"> actions de préférence de catégorie [A].</w:t>
      </w:r>
    </w:p>
    <w:p>
      <w:pPr>
        <w:pStyle w:val="Heading2"/>
      </w:pPr>
      <w:r>
        <w:t xml:space="preserve">Article 8 – Modifications du capital</w:t>
      </w:r>
    </w:p>
    <w:p>
      <w:pPr>
        <w:spacing w:after="120" w:line="276"/>
        <w:jc w:val="both"/>
      </w:pPr>
      <w:r>
        <w:t xml:space="preserve">Le capital peut être augmenté, réduit ou amorti par décision collective des associés, dans les conditions légales et statutaires. Les associés peuvent déléguer au Président les pouvoirs nécessaires à l’effet de réaliser, dans les limites qu’ils fixent, une augmentation de capital. Les associés bénéficient, proportionnellement au montant de leurs actions, d’un droit préférentiel de souscription aux actions de numéraire émises, auquel ils peuvent renoncer.</w:t>
      </w:r>
    </w:p>
    <w:p>
      <w:pPr>
        <w:pStyle w:val="Heading2"/>
      </w:pPr>
      <w:r>
        <w:t xml:space="preserve">Article 9 – Actions de préférence</w:t>
      </w:r>
    </w:p>
    <w:p>
      <w:pPr>
        <w:spacing w:after="120" w:line="276"/>
        <w:jc w:val="both"/>
      </w:pPr>
      <w:r>
        <w:t xml:space="preserve">Les actions de préférence de catégorie [A] (les « Actions de Préférence » ou « ADP »), émises conformément aux articles L.228-11 et suivants du Code de commerce, confèrent à leurs titulaires les droits particuliers ci-après, en sus des droits attachés aux actions ordinaires.</w:t>
      </w:r>
    </w:p>
    <w:p>
      <w:pPr>
        <w:pStyle w:val="Heading3"/>
      </w:pPr>
      <w:r>
        <w:t xml:space="preserve">9.1 Préférence de liquidation</w:t>
      </w:r>
    </w:p>
    <w:p>
      <w:pPr>
        <w:spacing w:after="120" w:line="276"/>
        <w:jc w:val="both"/>
      </w:pPr>
      <w:r>
        <w:t xml:space="preserve">En cas de Liquidité (cession de contrôle, fusion, cession de la quasi-totalité des actifs, ou liquidation de la Société), le produit net revenant aux associés (le « Produit ») est réparti selon l’ordre de priorité suivant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1F3864" w:sz="6"/>
              <w:left w:val="single" w:color="1F3864" w:sz="6"/>
              <w:bottom w:val="single" w:color="1F3864" w:sz="6"/>
              <w:right w:val="single" w:color="1F3864" w:sz="6"/>
            </w:tcBorders>
            <w:shd w:fill="F2F6FC" w:val="clear"/>
            <w:tcMar>
              <w:top w:type="dxa" w:w="120"/>
              <w:left w:type="dxa" w:w="200"/>
              <w:bottom w:type="dxa" w:w="120"/>
              <w:right w:type="dxa" w:w="200"/>
            </w:tcMar>
          </w:tcPr>
          <w:p>
            <w:pPr>
              <w:spacing w:after="50"/>
              <w:jc w:val="center"/>
            </w:pPr>
            <w:r>
              <w:rPr>
                <w:b/>
                <w:bCs/>
              </w:rPr>
              <w:t xml:space="preserve">1er rang : </w:t>
            </w:r>
            <w:r>
              <w:t xml:space="preserve">les titulaires d’ADP perçoivent, par priorité, un montant égal à </w:t>
            </w:r>
          </w:p>
          <w:p>
            <w:pPr>
              <w:spacing w:after="50"/>
              <w:jc w:val="center"/>
            </w:pPr>
            <w:r>
              <w:rPr>
                <w:b/>
                <w:bCs/>
                <w:color w:val="1F3864"/>
              </w:rPr>
              <w:t xml:space="preserve">1 (une) fois le prix de souscription de leurs ADP (prime incluse)</w:t>
            </w:r>
          </w:p>
          <w:p>
            <w:pPr>
              <w:spacing w:after="50"/>
              <w:jc w:val="center"/>
            </w:pPr>
            <w:r>
              <w:rPr>
                <w:i/>
                <w:iCs/>
                <w:color w:val="555555"/>
              </w:rPr>
              <w:t xml:space="preserve">– préférence non participative –</w:t>
            </w:r>
          </w:p>
          <w:p>
            <w:pPr>
              <w:spacing w:after="50"/>
              <w:jc w:val="center"/>
            </w:pPr>
            <w:r>
              <w:t xml:space="preserve">2e rang : le solde est réparti entre les titulaires d’actions ordinaires.</w:t>
            </w:r>
          </w:p>
        </w:tc>
      </w:tr>
    </w:tbl>
    <w:p>
      <w:pPr>
        <w:spacing w:after="120" w:line="276"/>
        <w:jc w:val="both"/>
      </w:pPr>
      <w:r>
        <w:t xml:space="preserve">Clause de rattrapage (« higher-of ») : par exception, chaque titulaire d’ADP perçoit le plus élevé (i) du montant de sa préférence ci-dessus, ou (ii) du montant qu’il aurait perçu si ses ADP avaient été converties en actions ordinaires et avaient participé à la répartition de l’intégralité du Produit au prorata. [Variante à arbitrer : préférence participative plafonnée à [•]x.]</w:t>
      </w:r>
    </w:p>
    <w:p>
      <w:pPr>
        <w:pStyle w:val="Heading3"/>
      </w:pPr>
      <w:r>
        <w:t xml:space="preserve">9.2 Ajustement anti-dilution</w:t>
      </w:r>
    </w:p>
    <w:p>
      <w:pPr>
        <w:spacing w:after="120" w:line="276"/>
        <w:jc w:val="both"/>
      </w:pPr>
      <w:r>
        <w:t xml:space="preserve">En cas d’émission de titres à un prix par action inférieur au prix de souscription des ADP (« down round »), le ratio de conversion des ADP en actions ordinaires est ajusté selon la méthode de la moyenne pondérée à base large (« broad-based weighted average »), de manière à compenser partiellement la dilution subie. La méthode de la pleine compensation (« full ratchet ») est expressément exclue. Les modalités de calcul figurent en Annexe des présents statuts.</w:t>
      </w:r>
    </w:p>
    <w:p>
      <w:pPr>
        <w:pStyle w:val="Heading3"/>
      </w:pPr>
      <w:r>
        <w:t xml:space="preserve">9.3 Conversion en actions ordinaires</w:t>
      </w:r>
    </w:p>
    <w:p>
      <w:pPr>
        <w:spacing w:after="120" w:line="276"/>
        <w:jc w:val="both"/>
      </w:pPr>
      <w:r>
        <w:t xml:space="preserve">Chaque ADP est convertible en actions ordinaires selon le ratio en vigueur : (i) à tout moment, sur demande de son titulaire ; et (ii) automatiquement, en cas d’admission des actions de la Société aux négociations sur un marché réglementé (introduction en bourse), ou par décision des titulaires d’ADP statuant à la majorité de [•] %.</w:t>
      </w:r>
    </w:p>
    <w:p>
      <w:pPr>
        <w:pStyle w:val="Heading3"/>
      </w:pPr>
      <w:r>
        <w:t xml:space="preserve">9.4 Droits politiques et d’information</w:t>
      </w:r>
    </w:p>
    <w:p>
      <w:pPr>
        <w:spacing w:after="120" w:line="276"/>
        <w:jc w:val="both"/>
      </w:pPr>
      <w:r>
        <w:t xml:space="preserve">Sauf stipulation contraire, chaque ADP confère un droit de vote identique à celui d’une action ordinaire. Les titulaires d’ADP bénéficient d’un droit d’information renforcé et de droits de consentement préalable sur les décisions importantes, dans les conditions prévues par les statuts et, le cas échéant, le pacte d’actionnaires. Toute modification des droits attachés aux ADP requiert l’approbation de l’assemblée spéciale des titulaires d’ADP (article L.225-99 sur renvoi de L.227-1).</w:t>
      </w:r>
    </w:p>
    <w:p>
      <w:pPr>
        <w:pStyle w:val="Heading2"/>
      </w:pPr>
      <w:r>
        <w:t xml:space="preserve">Article 10 – Forme des actions – Comptes d’associés</w:t>
      </w:r>
    </w:p>
    <w:p>
      <w:pPr>
        <w:spacing w:after="120" w:line="276"/>
        <w:jc w:val="both"/>
      </w:pPr>
      <w:r>
        <w:t xml:space="preserve">Les actions sont nominatives. Elles sont inscrites au nom de leur titulaire dans des comptes d’associés tenus par la Société. La propriété des actions résulte de leur inscription en compte. Un registre des mouvements de titres est tenu par la Société.</w:t>
      </w:r>
    </w:p>
    <w:p>
      <w:pPr>
        <w:pStyle w:val="Heading2"/>
      </w:pPr>
      <w:r>
        <w:t xml:space="preserve">Article 11 – Droits et obligations attachés aux actions</w:t>
      </w:r>
    </w:p>
    <w:p>
      <w:pPr>
        <w:spacing w:after="120" w:line="276"/>
        <w:jc w:val="both"/>
      </w:pPr>
      <w:r>
        <w:t xml:space="preserve">Chaque action donne droit, dans les bénéfices et l’actif social, à une part proportionnelle à la quotité du capital qu’elle représente, sous réserve des droits particuliers des ADP. Les associés ne sont responsables des pertes qu’à concurrence de leurs apports. La propriété d’une action emporte de plein droit adhésion aux statuts et aux décisions collectives.</w:t>
      </w:r>
    </w:p>
    <w:p>
      <w:pPr>
        <w:pStyle w:val="Heading2"/>
      </w:pPr>
      <w:r>
        <w:t xml:space="preserve">Article 12 – Indivisibilité – Usufruit</w:t>
      </w:r>
    </w:p>
    <w:p>
      <w:pPr>
        <w:spacing w:after="120" w:line="276"/>
        <w:jc w:val="both"/>
      </w:pPr>
      <w:r>
        <w:t xml:space="preserve">Les actions sont indivisibles à l’égard de la Société. En cas de démembrement, le droit de vote appartient à l’usufruitier pour les décisions d’affectation des bénéfices et au nu-propriétaire pour les autres, sauf convention contraire notifiée à la Société.</w:t>
      </w:r>
    </w:p>
    <w:p>
      <w:pPr>
        <w:pStyle w:val="Heading1"/>
      </w:pPr>
      <w:r>
        <w:t xml:space="preserve">Titre III – Transmission des actions</w:t>
      </w:r>
    </w:p>
    <w:p>
      <w:pPr>
        <w:pStyle w:val="Heading2"/>
      </w:pPr>
      <w:r>
        <w:t xml:space="preserve">Article 13 – Agrément des cessions</w:t>
      </w:r>
    </w:p>
    <w:p>
      <w:pPr>
        <w:spacing w:after="120" w:line="276"/>
        <w:jc w:val="both"/>
      </w:pPr>
      <w:r>
        <w:t xml:space="preserve">Toute cession d’actions à un tiers, à quelque titre que ce soit, est soumise à l’agrément préalable de la collectivité des associés statuant à la majorité de [•] %, l’associé cédant ne prenant pas part au vote. La demande d’agrément est notifiée à la Société ; la décision intervient dans un délai de [3] mois, à défaut l’agrément est réputé acquis. En cas de refus, la Société est tenue, dans les conditions légales, de faire acquérir les actions.</w:t>
      </w:r>
    </w:p>
    <w:p>
      <w:pPr>
        <w:pStyle w:val="Heading2"/>
      </w:pPr>
      <w:r>
        <w:t xml:space="preserve">Article 14 – Préemption et autres restrictions</w:t>
      </w:r>
    </w:p>
    <w:p>
      <w:pPr>
        <w:spacing w:after="120" w:line="276"/>
        <w:jc w:val="both"/>
      </w:pPr>
      <w:r>
        <w:t xml:space="preserve">Les actions sont en outre soumises aux droits de préemption, obligations d’inaliénabilité et de sortie prévus, le cas échéant, par le pacte d’actionnaires. [Le cas échéant, ces clauses peuvent être reprises statutairement.] Une clause d’inaliénabilité d’une durée maximale de dix ans peut être stipulée.</w:t>
      </w:r>
    </w:p>
    <w:p>
      <w:pPr>
        <w:pStyle w:val="Heading2"/>
      </w:pPr>
      <w:r>
        <w:t xml:space="preserve">Article 15 – Changement de contrôle d’un associé – Exclusion</w:t>
      </w:r>
    </w:p>
    <w:p>
      <w:pPr>
        <w:spacing w:after="120" w:line="276"/>
        <w:jc w:val="both"/>
      </w:pPr>
      <w:r>
        <w:t xml:space="preserve">[Optionnel] En cas de changement de contrôle d’un associé personne morale, celui-ci doit en informer la Société, qui peut prononcer son exclusion dans les conditions du présent article. La décision d’exclusion est prise par la collectivité des associés, l’associé concerné ne prenant pas part au vote, ses actions étant rachetées à leur valeur déterminée à dire d’expert (article 1843-4 du Code civil).</w:t>
      </w:r>
    </w:p>
    <w:p>
      <w:pPr>
        <w:pStyle w:val="Heading1"/>
      </w:pPr>
      <w:r>
        <w:t xml:space="preserve">Titre IV – Direction et contrôle de la Société</w:t>
      </w:r>
    </w:p>
    <w:p>
      <w:pPr>
        <w:pStyle w:val="Heading2"/>
      </w:pPr>
      <w:r>
        <w:t xml:space="preserve">Article 16 – Président</w:t>
      </w:r>
    </w:p>
    <w:p>
      <w:pPr>
        <w:spacing w:after="120" w:line="276"/>
        <w:jc w:val="both"/>
      </w:pPr>
      <w:r>
        <w:t xml:space="preserve">La Société est dirigée par un Président, personne physique ou morale, associé ou non, nommé par décision collective des associés. Le Président représente la Société à l’égard des tiers et est investi des pouvoirs les plus étendus pour agir en toute circonstance au nom de la Société, dans la limite de l’objet social et sous réserve des pouvoirs attribués à la collectivité des associés et des autorisations préalables requises. Il est révocable [•] par décision collective des associés. Sa rémunération est fixée par décision collective.</w:t>
      </w:r>
    </w:p>
    <w:p>
      <w:pPr>
        <w:pStyle w:val="Heading2"/>
      </w:pPr>
      <w:r>
        <w:t xml:space="preserve">Article 17 – Directeur Général</w:t>
      </w:r>
    </w:p>
    <w:p>
      <w:pPr>
        <w:spacing w:after="120" w:line="276"/>
        <w:jc w:val="both"/>
      </w:pPr>
      <w:r>
        <w:t xml:space="preserve">Un ou plusieurs Directeurs Généraux, personnes physiques ou morales, peuvent être nommés pour assister le Président, avec les pouvoirs déterminés lors de leur nomination. Ils disposent, sauf limitation, des mêmes pouvoirs de représentation que le Président à l’égard des tiers.</w:t>
      </w:r>
    </w:p>
    <w:p>
      <w:pPr>
        <w:pStyle w:val="Heading2"/>
      </w:pPr>
      <w:r>
        <w:t xml:space="preserve">Article 18 – Comité stratégique</w:t>
      </w:r>
    </w:p>
    <w:p>
      <w:pPr>
        <w:spacing w:after="120" w:line="276"/>
        <w:jc w:val="both"/>
      </w:pPr>
      <w:r>
        <w:t xml:space="preserve">[Le cas échéant] Il peut être institué un comité stratégique dont la composition, les attributions et les règles de fonctionnement sont fixées par décision collective ou par le pacte d’actionnaires. Le comité autorise préalablement les décisions importantes qui lui sont soumises.</w:t>
      </w:r>
    </w:p>
    <w:p>
      <w:pPr>
        <w:pStyle w:val="Heading2"/>
      </w:pPr>
      <w:r>
        <w:t xml:space="preserve">Article 19 – Conventions réglementées</w:t>
      </w:r>
    </w:p>
    <w:p>
      <w:pPr>
        <w:spacing w:after="120" w:line="276"/>
        <w:jc w:val="both"/>
      </w:pPr>
      <w:r>
        <w:t xml:space="preserve">Les conventions intervenant entre la Société et ses dirigeants ou associés sont soumises au contrôle prévu à l’article L.227-10 du Code de commerce. Les conventions courantes conclues à des conditions normales sont communiquées sur demande.</w:t>
      </w:r>
    </w:p>
    <w:p>
      <w:pPr>
        <w:pStyle w:val="Heading2"/>
      </w:pPr>
      <w:r>
        <w:t xml:space="preserve">Article 20 – Commissaires aux comptes</w:t>
      </w:r>
    </w:p>
    <w:p>
      <w:pPr>
        <w:spacing w:after="120" w:line="276"/>
        <w:jc w:val="both"/>
      </w:pPr>
      <w:r>
        <w:t xml:space="preserve">Un ou plusieurs commissaires aux comptes sont nommés, lorsque la loi l’exige ou par décision volontaire des associés, et exercent leur mission de contrôle conformément à la loi.</w:t>
      </w:r>
    </w:p>
    <w:p>
      <w:pPr>
        <w:pStyle w:val="Heading1"/>
      </w:pPr>
      <w:r>
        <w:t xml:space="preserve">Titre V – Décisions collectives des associés</w:t>
      </w:r>
    </w:p>
    <w:p>
      <w:pPr>
        <w:pStyle w:val="Heading2"/>
      </w:pPr>
      <w:r>
        <w:t xml:space="preserve">Article 21 – Décisions collectives</w:t>
      </w:r>
    </w:p>
    <w:p>
      <w:pPr>
        <w:spacing w:after="120" w:line="276"/>
        <w:jc w:val="both"/>
      </w:pPr>
      <w:r>
        <w:t xml:space="preserve">Les décisions collectives sont prises, au choix [du Président / de l’auteur de la consultation], en assemblée, par consultation écrite, par téléconférence ou par acte sous seing privé signé de tous les associés. Rel`event de la compétence exclusive des associés notamment : l’approbation des comptes et l’affectation du résultat, la modification des statuts, les opérations sur le capital, la transformation, la fusion, la dissolution, la nomination et la révocation du Président, la nomination des commissaires aux comptes.</w:t>
      </w:r>
    </w:p>
    <w:p>
      <w:pPr>
        <w:pStyle w:val="Heading3"/>
      </w:pPr>
      <w:r>
        <w:t xml:space="preserve">21.1 Majorités</w:t>
      </w:r>
    </w:p>
    <w:p>
      <w:pPr>
        <w:spacing w:after="120" w:line="276"/>
        <w:jc w:val="both"/>
      </w:pPr>
      <w:r>
        <w:t xml:space="preserve">Sauf disposition légale ou statutaire contraire, les décisions collectives sont adoptées à la majorité [des voix des associés disposant du droit de vote, présents ou représentés]. Sont adoptées à la majorité renforcée de [•] % : [la modification des statuts, les opérations sur le capital, l’agrément]. L’unanimité est requise dans les cas prévus par la loi (notamment augmentation des engagements des associés, adoption ou modification de clauses d’inaliénabilité, d’agrément, d’exclusion).</w:t>
      </w:r>
    </w:p>
    <w:p>
      <w:pPr>
        <w:pStyle w:val="Heading3"/>
      </w:pPr>
      <w:r>
        <w:t xml:space="preserve">21.2 Assemblée spéciale des titulaires d’ADP</w:t>
      </w:r>
    </w:p>
    <w:p>
      <w:pPr>
        <w:spacing w:after="120" w:line="276"/>
        <w:jc w:val="both"/>
      </w:pPr>
      <w:r>
        <w:t xml:space="preserve">Toute décision modifiant les droits attachés aux Actions de Préférence doit, pour produire effet, être approuvée par l’assemblée spéciale des titulaires d’ADP statuant à la majorité de [•] %.</w:t>
      </w:r>
    </w:p>
    <w:p>
      <w:pPr>
        <w:pStyle w:val="Heading2"/>
      </w:pPr>
      <w:r>
        <w:t xml:space="preserve">Article 22 – Droit d’information</w:t>
      </w:r>
    </w:p>
    <w:p>
      <w:pPr>
        <w:spacing w:after="120" w:line="276"/>
        <w:jc w:val="both"/>
      </w:pPr>
      <w:r>
        <w:t xml:space="preserve">Chaque associé a le droit d’obtenir, avant toute décision collective, communication des documents nécessaires à son information dans les conditions légales et statutaires.</w:t>
      </w:r>
    </w:p>
    <w:p>
      <w:pPr>
        <w:pStyle w:val="Heading1"/>
      </w:pPr>
      <w:r>
        <w:t xml:space="preserve">Titre VI – Comptes – Résultats</w:t>
      </w:r>
    </w:p>
    <w:p>
      <w:pPr>
        <w:pStyle w:val="Heading2"/>
      </w:pPr>
      <w:r>
        <w:t xml:space="preserve">Article 23 – Exercice social</w:t>
      </w:r>
    </w:p>
    <w:p>
      <w:pPr>
        <w:spacing w:after="120" w:line="276"/>
        <w:jc w:val="both"/>
      </w:pPr>
      <w:r>
        <w:t xml:space="preserve">L’exercice social commence le [1er janvier] et se termine le [31 décembre] de chaque année. [Le premier exercice sera clos le [•].]</w:t>
      </w:r>
    </w:p>
    <w:p>
      <w:pPr>
        <w:pStyle w:val="Heading2"/>
      </w:pPr>
      <w:r>
        <w:t xml:space="preserve">Article 24 – Comptes annuels</w:t>
      </w:r>
    </w:p>
    <w:p>
      <w:pPr>
        <w:spacing w:after="120" w:line="276"/>
        <w:jc w:val="both"/>
      </w:pPr>
      <w:r>
        <w:t xml:space="preserve">Le Président établit les comptes annuels conformément à la loi. Les associés statuent sur ces comptes dans les six mois de la clôture.</w:t>
      </w:r>
    </w:p>
    <w:p>
      <w:pPr>
        <w:pStyle w:val="Heading2"/>
      </w:pPr>
      <w:r>
        <w:t xml:space="preserve">Article 25 – Affectation et répartition du résultat</w:t>
      </w:r>
    </w:p>
    <w:p>
      <w:pPr>
        <w:spacing w:after="120" w:line="276"/>
        <w:jc w:val="both"/>
      </w:pPr>
      <w:r>
        <w:t xml:space="preserve">Le bénéfice distribuable est constitué conformément à la loi, après dotation à la réserve légale. Les associés peuvent affecter ce bénéfice à tous comptes de réserves ou le distribuer, sous réserve des droits particuliers des ADP. La collectivité des associés peut décider la distribution d’acomptes sur dividendes dans les conditions légales.</w:t>
      </w:r>
    </w:p>
    <w:p>
      <w:pPr>
        <w:pStyle w:val="Heading1"/>
      </w:pPr>
      <w:r>
        <w:t xml:space="preserve">Titre VII – Dissolution – Liquidation – Contestations</w:t>
      </w:r>
    </w:p>
    <w:p>
      <w:pPr>
        <w:pStyle w:val="Heading2"/>
      </w:pPr>
      <w:r>
        <w:t xml:space="preserve">Article 26 – Dissolution – Liquidation</w:t>
      </w:r>
    </w:p>
    <w:p>
      <w:pPr>
        <w:spacing w:after="120" w:line="276"/>
        <w:jc w:val="both"/>
      </w:pPr>
      <w:r>
        <w:t xml:space="preserve">La Société est dissoute dans les cas prévus par la loi ou par décision collective des associés. Un ou plusieurs liquidateurs sont alors nommés. Le produit net de la liquidation est employé à l’apurement du passif, puis réparti entre les associés en respectant l’ordre de priorité résultant de la préférence de liquidation attachée aux Actions de Préférence (Article 9.1), le surplus étant réparti au prorata.</w:t>
      </w:r>
    </w:p>
    <w:p>
      <w:pPr>
        <w:pStyle w:val="Heading2"/>
      </w:pPr>
      <w:r>
        <w:t xml:space="preserve">Article 27 – Contestations</w:t>
      </w:r>
    </w:p>
    <w:p>
      <w:pPr>
        <w:spacing w:after="120" w:line="276"/>
        <w:jc w:val="both"/>
      </w:pPr>
      <w:r>
        <w:t xml:space="preserve">Toutes contestations relatives aux affaires sociales survenant pendant la durée de la Société ou de sa liquidation sont soumises [au Tribunal de commerce du siège social / à l’arbitrage selon le règlement [•]].</w:t>
      </w:r>
    </w:p>
    <w:p>
      <w:r>
        <w:br w:type="page"/>
      </w:r>
    </w:p>
    <w:p>
      <w:pPr>
        <w:pStyle w:val="Heading1"/>
      </w:pPr>
      <w:r>
        <w:t xml:space="preserve">Signatures</w:t>
      </w:r>
    </w:p>
    <w:p>
      <w:pPr>
        <w:spacing w:after="120" w:line="276"/>
        <w:jc w:val="both"/>
      </w:pPr>
      <w:r>
        <w:t xml:space="preserve">Fait à [•], le [•], en autant d’exemplaires que requis par la loi [ou par voie de signature électronique conforme au règlement eIDAS].</w:t>
      </w:r>
    </w:p>
    <w:p>
      <w:pPr>
        <w:spacing w:after="360" w:before="300"/>
      </w:pPr>
      <w:r>
        <w:rPr>
          <w:b/>
          <w:bCs/>
        </w:rPr>
        <w:t xml:space="preserve">Les associés [ou le Président, sur délégation, pour la mise à jour] :</w:t>
      </w:r>
    </w:p>
    <w:p>
      <w:r>
        <w:rPr>
          <w:color w:val="888888"/>
        </w:rPr>
        <w:t xml:space="preserve">_______________________________</w:t>
      </w:r>
    </w:p>
    <w:p>
      <w:pPr>
        <w:spacing w:after="300"/>
      </w:pPr>
      <w:r>
        <w:rPr>
          <w:color w:val="555555"/>
        </w:rPr>
        <w:t xml:space="preserve">[Nom – qualité]</w:t>
      </w:r>
    </w:p>
    <w:p>
      <w:pPr>
        <w:spacing w:after="120" w:line="276"/>
        <w:jc w:val="both"/>
      </w:pPr>
      <w:r>
        <w:t xml:space="preserve">Annexe – Méthode de calcul de l’ajustement anti-dilution des Actions de Préférence (moyenne pondérée à base large).</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l’article 9 (ADP) doit être rigoureusement cohérent avec le Term Sheet, le pacte et le BSA AIR. Les statuts étant opposables aux tiers, ils priment sur le pacte à leur égard : arbitrer ce qui relève des statuts (droits ADP, agrément) et ce qui reste extrastatutaire (préemption, tag/drag, vesting). Vérifier les majorités, le sort des décisions à l’unanimité (art. L.227-19) et l’assemblée spéciale des ADP.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Statuts</w:t>
    </w:r>
    <w:r>
      <w:rPr>
        <w:b/>
        <w:bCs/>
        <w:color w:val="C00000"/>
        <w:sz w:val="16"/>
        <w:szCs w:val="16"/>
      </w:rPr>
      <w:t xml:space="preserve">	[NOM DE LA SOCIÉTÉ] –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4"/>
      <w:szCs w:val="24"/>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de SAS</dc:title>
  <dc:creator>Statuts SAS</dc:creator>
  <cp:lastModifiedBy>Un-named</cp:lastModifiedBy>
  <cp:revision>1</cp:revision>
  <dcterms:created xsi:type="dcterms:W3CDTF">2026-06-11T07:53:33.748Z</dcterms:created>
  <dcterms:modified xsi:type="dcterms:W3CDTF">2026-06-11T07:53:33.760Z</dcterms:modified>
</cp:coreProperties>
</file>

<file path=docProps/custom.xml><?xml version="1.0" encoding="utf-8"?>
<Properties xmlns="http://schemas.openxmlformats.org/officeDocument/2006/custom-properties" xmlns:vt="http://schemas.openxmlformats.org/officeDocument/2006/docPropsVTypes"/>
</file>