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864"/>
          <w:sz w:val="40"/>
          <w:szCs w:val="40"/>
        </w:rPr>
        <w:t xml:space="preserve">TERM SHEET</w:t>
      </w:r>
    </w:p>
    <w:p>
      <w:pPr>
        <w:spacing w:after="40"/>
        <w:jc w:val="center"/>
      </w:pPr>
      <w:r>
        <w:rPr>
          <w:i/>
          <w:iCs/>
          <w:color w:val="555555"/>
          <w:sz w:val="22"/>
          <w:szCs w:val="22"/>
        </w:rPr>
        <w:t xml:space="preserve">(Lettre d’intention – Conditions principales d’investissement)</w:t>
      </w:r>
    </w:p>
    <w:p>
      <w:pPr>
        <w:spacing w:after="240"/>
        <w:jc w:val="center"/>
      </w:pPr>
      <w:r>
        <w:rPr>
          <w:sz w:val="20"/>
          <w:szCs w:val="20"/>
        </w:rPr>
        <w:t xml:space="preserve">Opération : </w:t>
      </w:r>
      <w:r>
        <w:rPr>
          <w:b/>
          <w:bCs/>
          <w:color w:val="C00000"/>
          <w:sz w:val="20"/>
          <w:szCs w:val="20"/>
        </w:rPr>
        <w:t xml:space="preserve">[LEVÉE DE FONDS – TOUR </w:t>
      </w:r>
      <w:r>
        <w:rPr>
          <w:b/>
          <w:bCs/>
          <w:color w:val="C00000"/>
          <w:sz w:val="20"/>
          <w:szCs w:val="20"/>
        </w:rPr>
        <w:t xml:space="preserve">[SEED / PRE-SEED / SÉRIE A]]</w:t>
      </w:r>
    </w:p>
    <w:p>
      <w:pPr>
        <w:spacing w:after="120" w:line="276"/>
        <w:jc w:val="both"/>
      </w:pPr>
      <w:r>
        <w:t xml:space="preserve">La présente lettre d’intention (le « Term Sheet ») a pour objet de décrire les principaux termes et conditions de l’investissement envisagé par les Investisseurs au capital de la Société désignée ci-après. Sous réserve des stipulations de l’article 10, le présent Term Sheet n’a pas de valeur juridiquement contraignante et ne constitue ni une offre ferme, ni un engagement de souscrire ou d’émettre des titres. Il a vocation à servir de base à la rédaction de la documentation juridique définitive.</w:t>
      </w:r>
    </w:p>
    <w:p>
      <w:pPr>
        <w:pStyle w:val="Heading1"/>
      </w:pPr>
      <w:r>
        <w:t xml:space="preserve">1. Parties à l’opération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b/>
                <w:bCs/>
              </w:rPr>
              <w:t xml:space="preserve">Société</w:t>
            </w:r>
          </w:p>
        </w:tc>
        <w:tc>
          <w:tcPr>
            <w:tcW w:type="dxa" w:w="670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40"/>
              <w:jc w:val="both"/>
            </w:pPr>
            <w:r>
              <w:t xml:space="preserve">[DÉNOMINATION], </w:t>
            </w:r>
            <w:r>
              <w:t xml:space="preserve">SAS</w:t>
            </w:r>
            <w:r>
              <w:t xml:space="preserve"> au capital de </w:t>
            </w:r>
            <w:r>
              <w:rPr>
                <w:b/>
                <w:bCs/>
                <w:color w:val="C00000"/>
              </w:rPr>
              <w:t xml:space="preserve">[•] €</w:t>
            </w:r>
            <w:r>
              <w:t xml:space="preserve">, siège social </w:t>
            </w:r>
            <w:r>
              <w:rPr>
                <w:b/>
                <w:bCs/>
                <w:color w:val="C00000"/>
              </w:rPr>
              <w:t xml:space="preserve">[ADRESSE]</w:t>
            </w:r>
            <w:r>
              <w:t xml:space="preserve">, immatriculée au RCS de </w:t>
            </w:r>
            <w:r>
              <w:rPr>
                <w:b/>
                <w:bCs/>
                <w:color w:val="C00000"/>
              </w:rPr>
              <w:t xml:space="preserve">[VILLE]</w:t>
            </w:r>
            <w:r>
              <w:t xml:space="preserve"> sous le n° </w:t>
            </w:r>
            <w:r>
              <w:rPr>
                <w:b/>
                <w:bCs/>
                <w:color w:val="C00000"/>
              </w:rPr>
              <w:t xml:space="preserve">[•]</w:t>
            </w:r>
            <w:r>
              <w:t xml:space="preserve"> (la « Société »).</w:t>
            </w:r>
          </w:p>
        </w:tc>
      </w:tr>
      <w:tr>
        <w:tc>
          <w:tcPr>
            <w:tcW w:type="dxa" w:w="26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top"/>
          </w:tcPr>
          <w:p>
            <w:r>
              <w:rPr>
                <w:b/>
                <w:bCs/>
              </w:rPr>
              <w:t xml:space="preserve">Fondateur(s)</w:t>
            </w:r>
          </w:p>
        </w:tc>
        <w:tc>
          <w:tcPr>
            <w:tcW w:type="dxa" w:w="6706"/>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tcPr>
          <w:p>
            <w:pPr>
              <w:spacing w:after="40"/>
              <w:jc w:val="both"/>
            </w:pPr>
            <w:r>
              <w:rPr>
                <w:b/>
                <w:bCs/>
                <w:color w:val="C00000"/>
              </w:rPr>
              <w:t xml:space="preserve">[NOM PRÉNOM]</w:t>
            </w:r>
            <w:r>
              <w:t xml:space="preserve">, détenant ensemble </w:t>
            </w:r>
            <w:r>
              <w:rPr>
                <w:b/>
                <w:bCs/>
                <w:color w:val="C00000"/>
              </w:rPr>
              <w:t xml:space="preserve">[•] %</w:t>
            </w:r>
            <w:r>
              <w:t xml:space="preserve"> du capital et des droits de vote à la date des présentes (le(s) « Fondateur(s) »).</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b/>
                <w:bCs/>
              </w:rPr>
              <w:t xml:space="preserve">Investisseur(s)</w:t>
            </w:r>
          </w:p>
        </w:tc>
        <w:tc>
          <w:tcPr>
            <w:tcW w:type="dxa" w:w="670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40"/>
              <w:jc w:val="both"/>
            </w:pPr>
            <w:r>
              <w:t xml:space="preserve">Le(s) investisseur(s) figurant en Annexe 1 (ensemble, les « Investisseurs » ; individuellement, un « Investisseur »).</w:t>
            </w:r>
          </w:p>
        </w:tc>
      </w:tr>
    </w:tbl>
    <w:p>
      <w:pPr>
        <w:pStyle w:val="Heading1"/>
      </w:pPr>
      <w:r>
        <w:t xml:space="preserve">2. Caractéristiques financières de l’opération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b/>
                <w:bCs/>
              </w:rPr>
              <w:t xml:space="preserve">Type d’opération</w:t>
            </w:r>
          </w:p>
        </w:tc>
        <w:tc>
          <w:tcPr>
            <w:tcW w:type="dxa" w:w="670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40"/>
              <w:jc w:val="both"/>
            </w:pPr>
            <w:r>
              <w:t xml:space="preserve">Augmentation de capital en numéraire par émission d’actions de préférence (les « ADP » / « Actions de Préférence »), avec, le cas échéant, suppression du droit préférentiel de souscription au profit des Investisseurs.</w:t>
            </w:r>
          </w:p>
        </w:tc>
      </w:tr>
      <w:tr>
        <w:tc>
          <w:tcPr>
            <w:tcW w:type="dxa" w:w="26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top"/>
          </w:tcPr>
          <w:p>
            <w:r>
              <w:rPr>
                <w:b/>
                <w:bCs/>
              </w:rPr>
              <w:t xml:space="preserve">Montant total levé</w:t>
            </w:r>
          </w:p>
        </w:tc>
        <w:tc>
          <w:tcPr>
            <w:tcW w:type="dxa" w:w="6706"/>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tcPr>
          <w:p>
            <w:pPr>
              <w:spacing w:after="40"/>
              <w:jc w:val="both"/>
            </w:pPr>
            <w:r>
              <w:rPr>
                <w:b/>
                <w:bCs/>
                <w:color w:val="C00000"/>
              </w:rPr>
              <w:t xml:space="preserve">[•] €</w:t>
            </w:r>
            <w:r>
              <w:t xml:space="preserve"> (le « Montant de l’Investissement »), pouvant être réalisé en une ou plusieurs tranches.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b/>
                <w:bCs/>
              </w:rPr>
              <w:t xml:space="preserve">Valorisation pre-money</w:t>
            </w:r>
          </w:p>
        </w:tc>
        <w:tc>
          <w:tcPr>
            <w:tcW w:type="dxa" w:w="670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40"/>
              <w:jc w:val="both"/>
            </w:pPr>
            <w:r>
              <w:rPr>
                <w:b/>
                <w:bCs/>
                <w:color w:val="C00000"/>
              </w:rPr>
              <w:t xml:space="preserve">[•] €</w:t>
            </w:r>
            <w:r>
              <w:t xml:space="preserve"> (la « Valorisation Pre-Money »), sur une base pleinement diluée (fully diluted), incluant l’intégralité des instruments donnant accès au capital et le pool d’options.</w:t>
            </w:r>
          </w:p>
        </w:tc>
      </w:tr>
      <w:tr>
        <w:tc>
          <w:tcPr>
            <w:tcW w:type="dxa" w:w="26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top"/>
          </w:tcPr>
          <w:p>
            <w:r>
              <w:rPr>
                <w:b/>
                <w:bCs/>
              </w:rPr>
              <w:t xml:space="preserve">Valorisation post-money</w:t>
            </w:r>
          </w:p>
        </w:tc>
        <w:tc>
          <w:tcPr>
            <w:tcW w:type="dxa" w:w="6706"/>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tcPr>
          <w:p>
            <w:pPr>
              <w:spacing w:after="40"/>
              <w:jc w:val="both"/>
            </w:pPr>
            <w:r>
              <w:t xml:space="preserve">Valorisation Pre-Money majorée du Montant de l’Investissement, soit </w:t>
            </w:r>
            <w:r>
              <w:rPr>
                <w:b/>
                <w:bCs/>
                <w:color w:val="C00000"/>
              </w:rPr>
              <w:t xml:space="preserve">[•] €</w:t>
            </w:r>
            <w:r>
              <w:t xml:space="preserv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b/>
                <w:bCs/>
              </w:rPr>
              <w:t xml:space="preserve">Prix par action</w:t>
            </w:r>
          </w:p>
        </w:tc>
        <w:tc>
          <w:tcPr>
            <w:tcW w:type="dxa" w:w="670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40"/>
              <w:jc w:val="both"/>
            </w:pPr>
            <w:r>
              <w:rPr>
                <w:b/>
                <w:bCs/>
                <w:color w:val="C00000"/>
              </w:rPr>
              <w:t xml:space="preserve">[•] €</w:t>
            </w:r>
            <w:r>
              <w:t xml:space="preserve"> par Action de Préférence (</w:t>
            </w:r>
            <w:r>
              <w:rPr>
                <w:i/>
                <w:iCs/>
              </w:rPr>
              <w:t xml:space="preserve">valeur nominale</w:t>
            </w:r>
            <w:r>
              <w:t xml:space="preserve"> de </w:t>
            </w:r>
            <w:r>
              <w:rPr>
                <w:b/>
                <w:bCs/>
                <w:color w:val="C00000"/>
              </w:rPr>
              <w:t xml:space="preserve">[•] €</w:t>
            </w:r>
            <w:r>
              <w:t xml:space="preserve"> et </w:t>
            </w:r>
            <w:r>
              <w:rPr>
                <w:i/>
                <w:iCs/>
              </w:rPr>
              <w:t xml:space="preserve">prime d’émission</w:t>
            </w:r>
            <w:r>
              <w:t xml:space="preserve"> de </w:t>
            </w:r>
            <w:r>
              <w:rPr>
                <w:b/>
                <w:bCs/>
                <w:color w:val="C00000"/>
              </w:rPr>
              <w:t xml:space="preserve">[•] €</w:t>
            </w:r>
            <w:r>
              <w:t xml:space="preserve">).</w:t>
            </w:r>
          </w:p>
        </w:tc>
      </w:tr>
      <w:tr>
        <w:tc>
          <w:tcPr>
            <w:tcW w:type="dxa" w:w="26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top"/>
          </w:tcPr>
          <w:p>
            <w:r>
              <w:rPr>
                <w:b/>
                <w:bCs/>
              </w:rPr>
              <w:t xml:space="preserve">Pool d’options (BSPC/ESOP)</w:t>
            </w:r>
          </w:p>
        </w:tc>
        <w:tc>
          <w:tcPr>
            <w:tcW w:type="dxa" w:w="6706"/>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tcPr>
          <w:p>
            <w:pPr>
              <w:spacing w:after="40"/>
              <w:jc w:val="both"/>
            </w:pPr>
            <w:r>
              <w:t xml:space="preserve">Mise en place ou ajustement d’un pool représentant </w:t>
            </w:r>
            <w:r>
              <w:rPr>
                <w:b/>
                <w:bCs/>
                <w:color w:val="C00000"/>
              </w:rPr>
              <w:t xml:space="preserve">[•] %</w:t>
            </w:r>
            <w:r>
              <w:t xml:space="preserve"> du capital post-opération, créé </w:t>
            </w:r>
            <w:r>
              <w:rPr>
                <w:i/>
                <w:iCs/>
              </w:rPr>
              <w:t xml:space="preserve">avant</w:t>
            </w:r>
            <w:r>
              <w:t xml:space="preserve"> l’opération (impact dilutif supporté par les Fondateurs).</w:t>
            </w:r>
          </w:p>
        </w:tc>
      </w:tr>
    </w:tbl>
    <w:p>
      <w:pPr>
        <w:pStyle w:val="Heading1"/>
      </w:pPr>
      <w:r>
        <w:t xml:space="preserve">3. Droits financiers attachés aux Actions de Préférence</w:t>
      </w:r>
    </w:p>
    <w:p>
      <w:pPr>
        <w:pStyle w:val="Heading2"/>
      </w:pPr>
      <w:r>
        <w:t xml:space="preserve">3.1 Préférence de liquidation</w:t>
      </w:r>
    </w:p>
    <w:p>
      <w:pPr>
        <w:spacing w:after="120" w:line="276"/>
        <w:jc w:val="both"/>
      </w:pPr>
      <w:r>
        <w:t xml:space="preserve">En cas de </w:t>
      </w:r>
      <w:r>
        <w:rPr>
          <w:i/>
          <w:iCs/>
        </w:rPr>
        <w:t xml:space="preserve">Liquidité</w:t>
      </w:r>
      <w:r>
        <w:t xml:space="preserve"> (cession de contrôle, fusion, cession substantielle d’actifs, liquidation), les Investisseurs perçoivent par priorité un montant égal à </w:t>
      </w:r>
      <w:r>
        <w:rPr>
          <w:b/>
          <w:bCs/>
          <w:color w:val="C00000"/>
        </w:rPr>
        <w:t xml:space="preserve">1 (une) fois</w:t>
      </w:r>
      <w:r>
        <w:t xml:space="preserve"> leur investissement (préférence </w:t>
      </w:r>
      <w:r>
        <w:rPr>
          <w:b/>
          <w:bCs/>
        </w:rPr>
        <w:t xml:space="preserve">non participative</w:t>
      </w:r>
      <w:r>
        <w:t xml:space="preserve"> – </w:t>
      </w:r>
      <w:r>
        <w:rPr>
          <w:i/>
          <w:iCs/>
        </w:rPr>
        <w:t xml:space="preserve">non-participating</w:t>
      </w:r>
      <w:r>
        <w:t xml:space="preserve">), avec clause de </w:t>
      </w:r>
      <w:r>
        <w:rPr>
          <w:i/>
          <w:iCs/>
        </w:rPr>
        <w:t xml:space="preserve">rattrapage (« higher-of »)</w:t>
      </w:r>
      <w:r>
        <w:t xml:space="preserve"> : l’Investisseur perçoit le plus élevé (i) de sa préférence ou (ii) du montant qu’il aurait reçu par conversion en actions ordinaires.</w:t>
      </w:r>
    </w:p>
    <w:p>
      <w:pPr>
        <w:spacing w:after="120" w:line="276"/>
        <w:jc w:val="both"/>
      </w:pPr>
      <w:r>
        <w:t xml:space="preserve">Variante protectrice (à négocier) : préférence participative plafonnée (« capped participating ») à [2x]–[3x]. Cette variante est moins favorable aux Fondateurs et doit être arbitrée selon le rapport de force.</w:t>
      </w:r>
    </w:p>
    <w:p>
      <w:pPr>
        <w:pStyle w:val="Heading2"/>
      </w:pPr>
      <w:r>
        <w:t xml:space="preserve">3.2 Anti-dilution</w:t>
      </w:r>
    </w:p>
    <w:p>
      <w:pPr>
        <w:spacing w:after="120" w:line="276"/>
        <w:jc w:val="both"/>
      </w:pPr>
      <w:r>
        <w:t xml:space="preserve">Protection anti-dilution en cas d’émission ultérieure à un prix inférieur (« </w:t>
      </w:r>
      <w:r>
        <w:rPr>
          <w:i/>
          <w:iCs/>
        </w:rPr>
        <w:t xml:space="preserve">down round</w:t>
      </w:r>
      <w:r>
        <w:t xml:space="preserve"> »), selon la méthode de la </w:t>
      </w:r>
      <w:r>
        <w:rPr>
          <w:b/>
          <w:bCs/>
        </w:rPr>
        <w:t xml:space="preserve">moyenne pondérée à base large</w:t>
      </w:r>
      <w:r>
        <w:t xml:space="preserve"> (</w:t>
      </w:r>
      <w:r>
        <w:rPr>
          <w:i/>
          <w:iCs/>
        </w:rPr>
        <w:t xml:space="preserve">broad-based weighted average</w:t>
      </w:r>
      <w:r>
        <w:t xml:space="preserve">), méthode équilibrée et usuelle. La clause de pleine compensation (« </w:t>
      </w:r>
      <w:r>
        <w:rPr>
          <w:i/>
          <w:iCs/>
        </w:rPr>
        <w:t xml:space="preserve">full ratchet</w:t>
      </w:r>
      <w:r>
        <w:t xml:space="preserve"> ») est expressément écartée.</w:t>
      </w:r>
    </w:p>
    <w:p>
      <w:pPr>
        <w:pStyle w:val="Heading2"/>
      </w:pPr>
      <w:r>
        <w:t xml:space="preserve">3.3 Dividende préférentiel</w:t>
      </w:r>
    </w:p>
    <w:p>
      <w:pPr>
        <w:spacing w:after="120" w:line="276"/>
        <w:jc w:val="both"/>
      </w:pPr>
      <w:r>
        <w:t xml:space="preserve">[Optionnel – à écarter par défaut pour une start-up early-stage]. Le cas échéant, dividende prioritaire non cumulatif de [•] %, versé uniquement en cas de distribution décidée par la collectivité des associés.</w:t>
      </w:r>
    </w:p>
    <w:p>
      <w:pPr>
        <w:pStyle w:val="Heading1"/>
      </w:pPr>
      <w:r>
        <w:t xml:space="preserve">4. Gouvernance et droits d’information</w:t>
      </w:r>
    </w:p>
    <w:p>
      <w:pPr>
        <w:pStyle w:val="ListParagraph"/>
        <w:numPr>
          <w:ilvl w:val="0"/>
          <w:numId w:val="2"/>
        </w:numPr>
        <w:spacing w:after="80" w:line="276"/>
        <w:jc w:val="both"/>
      </w:pPr>
      <w:r>
        <w:t xml:space="preserve">Composition des organes : la Société met en place un comité stratégique (ou conseil) comprenant [•] membres, dont [un] représentant désigné par les Investisseurs (ou un observateur – board observer – sans voix délibérative).</w:t>
      </w:r>
    </w:p>
    <w:p>
      <w:pPr>
        <w:pStyle w:val="ListParagraph"/>
        <w:numPr>
          <w:ilvl w:val="0"/>
          <w:numId w:val="2"/>
        </w:numPr>
        <w:spacing w:after="80" w:line="276"/>
        <w:jc w:val="both"/>
      </w:pPr>
      <w:r>
        <w:t xml:space="preserve">Décisions importantes (droits de véto / majorités renforcées) : certaines décisions requièrent l’accord préalable des Investisseurs (ou de leur représentant), notamment : modification des statuts, émission de titres, endettement significatif au-delà de [•] €, cession d’actifs stratégiques, changement d’activité, opérations avec des parties liées, recrutement/révocation de dirigeants, distribution de dividendes.</w:t>
      </w:r>
    </w:p>
    <w:p>
      <w:pPr>
        <w:pStyle w:val="ListParagraph"/>
        <w:numPr>
          <w:ilvl w:val="0"/>
          <w:numId w:val="2"/>
        </w:numPr>
        <w:spacing w:after="80" w:line="276"/>
        <w:jc w:val="both"/>
      </w:pPr>
      <w:r>
        <w:t xml:space="preserve">Information périodique : communication d’un reporting trimestriel (états financiers, trésorerie, KPIs), du budget annuel, et des comptes annuels.</w:t>
      </w:r>
    </w:p>
    <w:p>
      <w:pPr>
        <w:pStyle w:val="ListParagraph"/>
        <w:numPr>
          <w:ilvl w:val="0"/>
          <w:numId w:val="2"/>
        </w:numPr>
        <w:spacing w:after="80" w:line="276"/>
        <w:jc w:val="both"/>
      </w:pPr>
      <w:r>
        <w:t xml:space="preserve">Droit d’audit : les Investisseurs disposent d’un droit d’information renforcé et, sous conditions, d’un droit d’audit aux frais [de la Société / des Investisseurs].</w:t>
      </w:r>
    </w:p>
    <w:p>
      <w:pPr>
        <w:pStyle w:val="Heading1"/>
      </w:pPr>
      <w:r>
        <w:t xml:space="preserve">5. Transfert des titres</w:t>
      </w:r>
    </w:p>
    <w:p>
      <w:pPr>
        <w:pStyle w:val="ListParagraph"/>
        <w:numPr>
          <w:ilvl w:val="0"/>
          <w:numId w:val="2"/>
        </w:numPr>
        <w:spacing w:after="80" w:line="276"/>
        <w:jc w:val="both"/>
      </w:pPr>
      <w:r>
        <w:t xml:space="preserve">Inaliénabilité (lock-up) des Fondateurs : engagement de conservation des titres pendant [•] ans, sauf accord des Investisseurs.</w:t>
      </w:r>
    </w:p>
    <w:p>
      <w:pPr>
        <w:pStyle w:val="ListParagraph"/>
        <w:numPr>
          <w:ilvl w:val="0"/>
          <w:numId w:val="2"/>
        </w:numPr>
        <w:spacing w:after="80" w:line="276"/>
        <w:jc w:val="both"/>
      </w:pPr>
      <w:r>
        <w:t xml:space="preserve">Droit de préemption : en cas de projet de cession, droit de préemption au profit des [Investisseurs / associés], au prorata de leur participation.</w:t>
      </w:r>
    </w:p>
    <w:p>
      <w:pPr>
        <w:pStyle w:val="ListParagraph"/>
        <w:numPr>
          <w:ilvl w:val="0"/>
          <w:numId w:val="2"/>
        </w:numPr>
        <w:spacing w:after="80" w:line="276"/>
        <w:jc w:val="both"/>
      </w:pPr>
      <w:r>
        <w:t xml:space="preserve">Droit de sortie conjointe (tag-along) : en cas de cession par un Fondateur, les Investisseurs peuvent céder leurs titres aux mêmes conditions, prioritairement.</w:t>
      </w:r>
    </w:p>
    <w:p>
      <w:pPr>
        <w:pStyle w:val="ListParagraph"/>
        <w:numPr>
          <w:ilvl w:val="0"/>
          <w:numId w:val="2"/>
        </w:numPr>
        <w:spacing w:after="80" w:line="276"/>
        <w:jc w:val="both"/>
      </w:pPr>
      <w:r>
        <w:t xml:space="preserve">Sortie conjointe totale (full tag) en cas de cession de contrôle : les Investisseurs peuvent céder 100 % de leurs titres.</w:t>
      </w:r>
    </w:p>
    <w:p>
      <w:pPr>
        <w:pStyle w:val="ListParagraph"/>
        <w:numPr>
          <w:ilvl w:val="0"/>
          <w:numId w:val="2"/>
        </w:numPr>
        <w:spacing w:after="80" w:line="276"/>
        <w:jc w:val="both"/>
      </w:pPr>
      <w:r>
        <w:t xml:space="preserve">Obligation de sortie forcée (drag-along) : en cas d’offre de bonne foi portant sur 100 % du capital, approuvée par [•] % des associés incluant [•] % des Investisseurs, l’ensemble des associés est tenu de céder, sous réserve du respect de l’ordre de la préférence de liquidation.</w:t>
      </w:r>
    </w:p>
    <w:p>
      <w:pPr>
        <w:pStyle w:val="ListParagraph"/>
        <w:numPr>
          <w:ilvl w:val="0"/>
          <w:numId w:val="2"/>
        </w:numPr>
        <w:spacing w:after="80" w:line="276"/>
        <w:jc w:val="both"/>
      </w:pPr>
      <w:r>
        <w:t xml:space="preserve">Agrément : tout nouveau transfert reste soumis à la procédure d’agrément statutaire.</w:t>
      </w:r>
    </w:p>
    <w:p>
      <w:pPr>
        <w:pStyle w:val="Heading1"/>
      </w:pPr>
      <w:r>
        <w:t xml:space="preserve">6. Engagements des Fondateurs</w:t>
      </w:r>
    </w:p>
    <w:p>
      <w:pPr>
        <w:pStyle w:val="ListParagraph"/>
        <w:numPr>
          <w:ilvl w:val="0"/>
          <w:numId w:val="2"/>
        </w:numPr>
        <w:spacing w:after="80" w:line="276"/>
        <w:jc w:val="both"/>
      </w:pPr>
      <w:r>
        <w:t xml:space="preserve">Vesting (acquisition progressive) des titres/participations des Fondateurs sur [4] ans, avec période de carence (« cliff ») de [12] mois, puis acquisition mensuelle/trimestrielle.</w:t>
      </w:r>
    </w:p>
    <w:p>
      <w:pPr>
        <w:pStyle w:val="ListParagraph"/>
        <w:numPr>
          <w:ilvl w:val="0"/>
          <w:numId w:val="2"/>
        </w:numPr>
        <w:spacing w:after="80" w:line="276"/>
        <w:jc w:val="both"/>
      </w:pPr>
      <w:r>
        <w:t xml:space="preserve">Clauses de départ (« leaver ») : distinction good leaver / bad leaver, avec promesses de cession des titres non acquis (et, pour le bad leaver, d’une partie des titres acquis), à un prix défini (valeur de marché vs valeur nominale).</w:t>
      </w:r>
    </w:p>
    <w:p>
      <w:pPr>
        <w:pStyle w:val="ListParagraph"/>
        <w:numPr>
          <w:ilvl w:val="0"/>
          <w:numId w:val="2"/>
        </w:numPr>
        <w:spacing w:after="80" w:line="276"/>
        <w:jc w:val="both"/>
      </w:pPr>
      <w:r>
        <w:t xml:space="preserve">Exclusivité / non-concurrence et non-sollicitation pendant la présence et [•] mois après le départ.</w:t>
      </w:r>
    </w:p>
    <w:p>
      <w:pPr>
        <w:pStyle w:val="ListParagraph"/>
        <w:numPr>
          <w:ilvl w:val="0"/>
          <w:numId w:val="2"/>
        </w:numPr>
        <w:spacing w:after="80" w:line="276"/>
        <w:jc w:val="both"/>
      </w:pPr>
      <w:r>
        <w:t xml:space="preserve">Engagement de temps plein et de loyauté ; cession à la Société de la pleine propriété des droits de propriété intellectuelle relatifs à l’activité.</w:t>
      </w:r>
    </w:p>
    <w:p>
      <w:pPr>
        <w:pStyle w:val="Heading1"/>
      </w:pPr>
      <w:r>
        <w:t xml:space="preserve">7. Conditions suspensives</w:t>
      </w:r>
    </w:p>
    <w:p>
      <w:pPr>
        <w:spacing w:after="120" w:line="276"/>
        <w:jc w:val="both"/>
      </w:pPr>
      <w:r>
        <w:t xml:space="preserve">La réalisation de l’investissement est soumise notamment aux conditions suivantes :</w:t>
      </w:r>
    </w:p>
    <w:p>
      <w:pPr>
        <w:pStyle w:val="ListParagraph"/>
        <w:numPr>
          <w:ilvl w:val="0"/>
          <w:numId w:val="2"/>
        </w:numPr>
        <w:spacing w:after="80" w:line="276"/>
        <w:jc w:val="both"/>
      </w:pPr>
      <w:r>
        <w:t xml:space="preserve">Réalisation satisfaisante d’un audit (juridique, comptable, fiscal et social) de la Société ;</w:t>
      </w:r>
    </w:p>
    <w:p>
      <w:pPr>
        <w:pStyle w:val="ListParagraph"/>
        <w:numPr>
          <w:ilvl w:val="0"/>
          <w:numId w:val="2"/>
        </w:numPr>
        <w:spacing w:after="80" w:line="276"/>
        <w:jc w:val="both"/>
      </w:pPr>
      <w:r>
        <w:t xml:space="preserve">Négociation et signature de la documentation juridique définitive (statuts, pacte d’associés, convention et bulletins de souscription) ;</w:t>
      </w:r>
    </w:p>
    <w:p>
      <w:pPr>
        <w:pStyle w:val="ListParagraph"/>
        <w:numPr>
          <w:ilvl w:val="0"/>
          <w:numId w:val="2"/>
        </w:numPr>
        <w:spacing w:after="80" w:line="276"/>
        <w:jc w:val="both"/>
      </w:pPr>
      <w:r>
        <w:t xml:space="preserve">Obtention des autorisations sociales (décision d’augmentation de capital) et, le cas échéant, des tiers ;</w:t>
      </w:r>
    </w:p>
    <w:p>
      <w:pPr>
        <w:pStyle w:val="ListParagraph"/>
        <w:numPr>
          <w:ilvl w:val="0"/>
          <w:numId w:val="2"/>
        </w:numPr>
        <w:spacing w:after="80" w:line="276"/>
        <w:jc w:val="both"/>
      </w:pPr>
      <w:r>
        <w:t xml:space="preserve">Absence de changement défavorable significatif (« MAC ») entre la signature et la réalisation ;</w:t>
      </w:r>
    </w:p>
    <w:p>
      <w:pPr>
        <w:pStyle w:val="ListParagraph"/>
        <w:numPr>
          <w:ilvl w:val="0"/>
          <w:numId w:val="2"/>
        </w:numPr>
        <w:spacing w:after="80" w:line="276"/>
        <w:jc w:val="both"/>
      </w:pPr>
      <w:r>
        <w:t xml:space="preserve">Exactitude des déclarations et garanties consenties par la Société et les Fondateurs.</w:t>
      </w:r>
    </w:p>
    <w:p>
      <w:pPr>
        <w:pStyle w:val="Heading1"/>
      </w:pPr>
      <w:r>
        <w:t xml:space="preserve">8. Déclarations et garanties</w:t>
      </w:r>
    </w:p>
    <w:p>
      <w:pPr>
        <w:spacing w:after="120" w:line="276"/>
        <w:jc w:val="both"/>
      </w:pPr>
      <w:r>
        <w:t xml:space="preserve">Les Fondateurs et la Société consentiront, dans la documentation définitive, des déclarations et garanties usuelles (titres, comptes, propriété intellectuelle, contrats, social, fiscal, contentieux, conformité), assorties d’une garantie d’actif et de passif plafonnée à [•] et d’une durée de [•] (spécifique pour les matières fiscales/sociales).</w:t>
      </w:r>
    </w:p>
    <w:p>
      <w:pPr>
        <w:pStyle w:val="Heading1"/>
      </w:pPr>
      <w:r>
        <w:t xml:space="preserve">9. Coûts et frais</w:t>
      </w:r>
    </w:p>
    <w:p>
      <w:pPr>
        <w:spacing w:after="120" w:line="276"/>
        <w:jc w:val="both"/>
      </w:pPr>
      <w:r>
        <w:t xml:space="preserve">Sauf accord contraire, chaque partie supporte ses propres frais (conseils, audits). [Variante : les frais raisonnables de structuration sont supportés par la Société dans la limite de [•] € HT, par imputation sur le produit de l’émission.]</w:t>
      </w:r>
    </w:p>
    <w:p>
      <w:pPr>
        <w:pStyle w:val="Heading1"/>
      </w:pPr>
      <w:r>
        <w:t xml:space="preserve">10. Portée juridique</w:t>
      </w:r>
    </w:p>
    <w:p>
      <w:pPr>
        <w:spacing w:after="120" w:line="276"/>
        <w:jc w:val="both"/>
      </w:pPr>
      <w:r>
        <w:t xml:space="preserve">À l’exception des articles </w:t>
      </w:r>
      <w:r>
        <w:rPr>
          <w:b/>
          <w:bCs/>
        </w:rPr>
        <w:t xml:space="preserve">11 (Confidentialité), 12 (Exclusivité), 13 (Durée) et 14 (Droit applicable)</w:t>
      </w:r>
      <w:r>
        <w:t xml:space="preserve">, qui sont </w:t>
      </w:r>
      <w:r>
        <w:rPr>
          <w:b/>
          <w:bCs/>
        </w:rPr>
        <w:t xml:space="preserve">juridiquement contraignants</w:t>
      </w:r>
      <w:r>
        <w:t xml:space="preserve">, le présent Term Sheet est </w:t>
      </w:r>
      <w:r>
        <w:rPr>
          <w:b/>
          <w:bCs/>
        </w:rPr>
        <w:t xml:space="preserve">dépourvu de valeur contractuelle</w:t>
      </w:r>
      <w:r>
        <w:t xml:space="preserve"> et n’emporte aucune obligation d’investir ou d’émettre des titres. Seule la signature de la documentation définitive engagera définitivement les parties.</w:t>
      </w:r>
    </w:p>
    <w:p>
      <w:pPr>
        <w:pStyle w:val="Heading1"/>
      </w:pPr>
      <w:r>
        <w:t xml:space="preserve">11. Confidentialité</w:t>
      </w:r>
    </w:p>
    <w:p>
      <w:pPr>
        <w:spacing w:after="120" w:line="276"/>
        <w:jc w:val="both"/>
      </w:pPr>
      <w:r>
        <w:t xml:space="preserve">Les parties s’engagent à maintenir confidentiels l’existence et le contenu du présent Term Sheet ainsi que les informations échangées, sauf obligation légale ou accord écrit préalable. Cet engagement survit [12] mois à l’expiration des présentes.</w:t>
      </w:r>
    </w:p>
    <w:p>
      <w:pPr>
        <w:pStyle w:val="Heading1"/>
      </w:pPr>
      <w:r>
        <w:t xml:space="preserve">12. Exclusivité (no-shop)</w:t>
      </w:r>
    </w:p>
    <w:p>
      <w:pPr>
        <w:spacing w:after="120" w:line="276"/>
        <w:jc w:val="both"/>
      </w:pPr>
      <w:r>
        <w:t xml:space="preserve">À compter de la signature et pendant une période de [30 / 45] jours (la « Période d’Exclusivité »), la Société et les Fondateurs s’interdisent de solliciter, négocier ou conclure toute opération concurrente de levée de fonds avec un tiers, et en informeront immédiatement les Investisseurs.</w:t>
      </w:r>
    </w:p>
    <w:p>
      <w:pPr>
        <w:pStyle w:val="Heading1"/>
      </w:pPr>
      <w:r>
        <w:t xml:space="preserve">13. Durée de validité de l’offre</w:t>
      </w:r>
    </w:p>
    <w:p>
      <w:pPr>
        <w:spacing w:after="120" w:line="276"/>
        <w:jc w:val="both"/>
      </w:pPr>
      <w:r>
        <w:t xml:space="preserve">La présente lettre d’intention est valable jusqu’au [•]. À défaut de signature par l’ensemble des parties avant cette date, elle deviendra caduque de plein droit.</w:t>
      </w:r>
    </w:p>
    <w:p>
      <w:pPr>
        <w:pStyle w:val="Heading1"/>
      </w:pPr>
      <w:r>
        <w:t xml:space="preserve">14. Droit applicable et règlement des différends</w:t>
      </w:r>
    </w:p>
    <w:p>
      <w:pPr>
        <w:spacing w:after="120" w:line="276"/>
        <w:jc w:val="both"/>
      </w:pPr>
      <w:r>
        <w:t xml:space="preserve">Le présent Term Sheet est régi par le droit français. Tout différend relatif à sa validité, son interprétation ou son exécution sera soumis, à défaut de règlement amiable, [à la compétence exclusive des tribunaux du ressort de la Cour d’appel de Paris / à un arbitrage selon le règlement [•]].</w:t>
      </w:r>
    </w:p>
    <w:p>
      <w:r>
        <w:br w:type="page"/>
      </w:r>
    </w:p>
    <w:p>
      <w:pPr>
        <w:pStyle w:val="Heading1"/>
      </w:pPr>
      <w:r>
        <w:t xml:space="preserve">Signatures</w:t>
      </w:r>
    </w:p>
    <w:p>
      <w:pPr>
        <w:spacing w:after="120" w:line="276"/>
        <w:jc w:val="both"/>
      </w:pPr>
      <w:r>
        <w:t xml:space="preserve">Fait à [•], le [•], en [•] exemplaires originaux.</w:t>
      </w:r>
    </w:p>
    <w:p>
      <w:pPr>
        <w:spacing w:after="600" w:before="200"/>
      </w:pPr>
      <w:r>
        <w:t xml:space="preserve">Pour la Société :</w:t>
      </w:r>
    </w:p>
    <w:p>
      <w:r>
        <w:rPr>
          <w:color w:val="888888"/>
        </w:rPr>
        <w:t xml:space="preserve">_______________________________</w:t>
      </w:r>
    </w:p>
    <w:p>
      <w:pPr>
        <w:spacing w:after="400"/>
      </w:pPr>
      <w:r>
        <w:t xml:space="preserve">[Nom – qualité]</w:t>
      </w:r>
    </w:p>
    <w:p>
      <w:pPr>
        <w:spacing w:after="600"/>
      </w:pPr>
      <w:r>
        <w:t xml:space="preserve">Pour le(s) Fondateur(s) :</w:t>
      </w:r>
    </w:p>
    <w:p>
      <w:r>
        <w:rPr>
          <w:color w:val="888888"/>
        </w:rPr>
        <w:t xml:space="preserve">_______________________________</w:t>
      </w:r>
    </w:p>
    <w:p>
      <w:pPr>
        <w:spacing w:after="400"/>
      </w:pPr>
      <w:r>
        <w:t xml:space="preserve">[Nom]</w:t>
      </w:r>
    </w:p>
    <w:p>
      <w:pPr>
        <w:spacing w:after="600"/>
      </w:pPr>
      <w:r>
        <w:t xml:space="preserve">Pour le(s) Investisseur(s) :</w:t>
      </w:r>
    </w:p>
    <w:p>
      <w:r>
        <w:rPr>
          <w:color w:val="888888"/>
        </w:rPr>
        <w:t xml:space="preserve">_______________________________</w:t>
      </w:r>
    </w:p>
    <w:p>
      <w:pPr>
        <w:spacing w:after="200"/>
      </w:pPr>
      <w:r>
        <w:t xml:space="preserve">[Nom]</w:t>
      </w:r>
    </w:p>
    <w:p>
      <w:r>
        <w:br w:type="page"/>
      </w:r>
    </w:p>
    <w:p>
      <w:pPr>
        <w:pStyle w:val="Heading1"/>
      </w:pPr>
      <w:r>
        <w:t xml:space="preserve">Annexes</w:t>
      </w:r>
    </w:p>
    <w:p>
      <w:pPr>
        <w:pStyle w:val="ListParagraph"/>
        <w:numPr>
          <w:ilvl w:val="0"/>
          <w:numId w:val="2"/>
        </w:numPr>
        <w:spacing w:after="80" w:line="276"/>
        <w:jc w:val="both"/>
      </w:pPr>
      <w:r>
        <w:t xml:space="preserve">Annexe 1 – Liste des Investisseurs et montants souscrits.</w:t>
      </w:r>
    </w:p>
    <w:p>
      <w:pPr>
        <w:pStyle w:val="ListParagraph"/>
        <w:numPr>
          <w:ilvl w:val="0"/>
          <w:numId w:val="2"/>
        </w:numPr>
        <w:spacing w:after="80" w:line="276"/>
        <w:jc w:val="both"/>
      </w:pPr>
      <w:r>
        <w:t xml:space="preserve">Annexe 2 – Table de capitalisation pre-money et post-money (pro forma).</w:t>
      </w:r>
    </w:p>
    <w:p>
      <w:pPr>
        <w:pBdr>
          <w:top w:val="single" w:color="C00000" w:sz="4" w:space="6"/>
        </w:pBdr>
        <w:spacing w:before="300"/>
      </w:pPr>
      <w:r>
        <w:rPr>
          <w:b/>
          <w:bCs/>
          <w:color w:val="C00000"/>
          <w:sz w:val="18"/>
          <w:szCs w:val="18"/>
        </w:rPr>
        <w:t xml:space="preserve">Note de rédaction (à supprimer avant diffusion) : </w:t>
      </w:r>
      <w:r>
        <w:rPr>
          <w:i/>
          <w:iCs/>
          <w:color w:val="C00000"/>
          <w:sz w:val="18"/>
          <w:szCs w:val="18"/>
        </w:rPr>
        <w:t xml:space="preserve">les mentions en rouge / entre crochets sont des variables à compléter ou des options à arbitrer. Modèle équilibré « VC-standard » destiné à être relu et adapté par un avocat avant toute utilisation.</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jc w:val="center"/>
    </w:pPr>
    <w:r>
      <w:rPr>
        <w:color w:val="808080"/>
        <w:sz w:val="15"/>
        <w:szCs w:val="15"/>
      </w:rPr>
      <w:t xml:space="preserve">Document de travail – sans valeur contractuelle (sauf clauses 10 à 14) – </w:t>
    </w:r>
    <w:r>
      <w:rPr>
        <w:color w:val="808080"/>
        <w:sz w:val="15"/>
        <w:szCs w:val="15"/>
      </w:rPr>
      <w:t xml:space="preserve">Page </w:t>
    </w:r>
    <w:r>
      <w:rPr>
        <w:color w:val="808080"/>
        <w:sz w:val="15"/>
        <w:szCs w:val="15"/>
      </w:rPr>
      <w:fldChar w:fldCharType="begin"/>
      <w:instrText xml:space="preserve">PAGE</w:instrText>
      <w:fldChar w:fldCharType="separate"/>
      <w:fldChar w:fldCharType="end"/>
    </w:r>
    <w:r>
      <w:rPr>
        <w:color w:val="808080"/>
        <w:sz w:val="15"/>
        <w:szCs w:val="15"/>
      </w:rPr>
      <w:t xml:space="preserve"> /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306"/>
      </w:tabs>
    </w:pPr>
    <w:r>
      <w:rPr>
        <w:b/>
        <w:bCs/>
        <w:color w:val="1F3864"/>
        <w:sz w:val="16"/>
        <w:szCs w:val="16"/>
      </w:rPr>
      <w:t xml:space="preserve">CONFIDENTIEL</w:t>
    </w:r>
    <w:r>
      <w:rPr>
        <w:color w:val="808080"/>
        <w:sz w:val="16"/>
        <w:szCs w:val="16"/>
      </w:rPr>
      <w:t xml:space="preserve">	Term Sheet – </w:t>
    </w:r>
    <w:r>
      <w:rPr>
        <w:b/>
        <w:bCs/>
        <w:color w:val="C00000"/>
        <w:sz w:val="16"/>
        <w:szCs w:val="16"/>
      </w:rPr>
      <w:t xml:space="preserve">[NOM DE LA SOCIÉTÉ]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180"/>
      <w:outlineLvl w:val="1"/>
    </w:pPr>
    <w:rPr>
      <w:rFonts w:ascii="Arial" w:cs="Arial" w:eastAsia="Arial" w:hAnsi="Arial"/>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 Sheet / Lettre d'intention</dc:title>
  <dc:creator>Term Sheet</dc:creator>
  <cp:lastModifiedBy>Un-named</cp:lastModifiedBy>
  <cp:revision>1</cp:revision>
  <dcterms:created xsi:type="dcterms:W3CDTF">2026-06-10T20:47:19.250Z</dcterms:created>
  <dcterms:modified xsi:type="dcterms:W3CDTF">2026-06-10T20:47:19.272Z</dcterms:modified>
</cp:coreProperties>
</file>

<file path=docProps/custom.xml><?xml version="1.0" encoding="utf-8"?>
<Properties xmlns="http://schemas.openxmlformats.org/officeDocument/2006/custom-properties" xmlns:vt="http://schemas.openxmlformats.org/officeDocument/2006/docPropsVTypes"/>
</file>