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EPC</w:t>
      </w:r>
    </w:p>
    <w:p>
      <w:r>
        <w:t>Room for increasing the sanctions’ impact 8  Extending the scope of sanctions on Russian export revenues 8  Expanding and aligning export restrictions among the coalition countries 8  Encouraging more company-level self-sanctions 8  Preventing sanctions circumvention 9  Prolonging the renewal periods for economic sanctions 9 6.</w:t>
      </w:r>
    </w:p>
    <w:p>
      <w:r>
        <w:t>However, there was a clear slowdown, when  compared to a 58.8% y/y growth in Q1 2022.23 This  growth was driven by record energy and commodity  prices on oil, gas, coal, fertilisers, non-ferrous metals,  while physical volumes of major Russian exports  contracted.24 Increasing Russian export revenues  6combined with shrinking import and strict capital  control supported the increase of Russia’s current  account surplus and the stabilisation of the rouble  and the economy from the initial shock of sanctions.</w:t>
      </w:r>
    </w:p>
    <w:p>
      <w:r>
        <w:t>In addition, there is still the potential to increase  the scope of sanctions on Russia’s energy and non- energy exports to the EU, for example by extending  them to natural gas (amounting to $22 billion in 2021),  diamonds ($2.1 billion in 2021), cast iron, ferroalloys,  direct reduced iron38 ($1.3 billion in 2021).39  Russia is receiving record revenues from energy exports  due to skyrocketing gas prices in Europe.40 Russia started  to significantly reduce its gas supplies to Europe in 2021,41  months before its invasion of Ukraine, provoking energy  price hikes.</w:t>
      </w:r>
    </w:p>
    <w:p>
      <w:r>
        <w:t>The following steps are crucial in this respect: exclude  loopholes by expanding the scope of sanctions, especially  related to the Russian military sector; undertake  strong enforcement actions against Russian-controlled  companies evading sanctions, as well as countries and  foreign companies that facilitate evasion (secondary  sanctions); and more coordinated efforts by the EU and  sanctions’ coalition countries in monitoring and enforcing  imposed sanctions.</w:t>
      </w:r>
    </w:p>
    <w:p>
      <w:r>
        <w:t>This measure was introduced in the EU’s eighth  sanctions package for Russian steel products for a   one-year period.55 PROLONGING THE RENEWAL PERIODS FOR  ECONOMIC SANCTIONS  The current EU six-month sanctions renewal system  is rather unhelpful, as it may encourage some member  states to call for sanctions to be lifted, thereby  undermining EU unity.</w:t>
      </w:r>
    </w:p>
    <w:p>
      <w:r>
        <w:t>1   Iron and steel products EU imports  from Russia 10.5 0.7 4.2 0.5Iron ore (HS2601) Cast iron (HS7201) Semi-finished products of iron  or non-alloy steel (HS7207) Semi-finished products of iron  or non-alloy steel w/o slabs  (HS7207 w/o 720712)EU imports  from Ukraine 16.5 0.9 2.8 0.7Ukraine exports  to world 45.1 3.2 6.8 3.8EU imports  from world 93.6 2.4 8.3 1.9EU IMPORTS OF IRON AND STEEL PRODUCTS FROM RUSSIA AND UKRAINE IN 2021,  (PER MILLION TONS ) 11Extending the scope of the iron and steel embargo can  provide new opportunities for Ukrainian producers.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