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sz w:val="24"/>
          <w:szCs w:val="24"/>
        </w:rPr>
        <w:id w:val="757416130"/>
        <w:docPartObj>
          <w:docPartGallery w:val="Table of Contents"/>
          <w:docPartUnique/>
        </w:docPartObj>
      </w:sdtPr>
      <w:sdtContent>
        <w:p w14:paraId="15C85708" w14:textId="7AEEEC0D" w:rsidR="00CD12F4" w:rsidRDefault="00CD12F4" w:rsidP="002A2E64">
          <w:pPr>
            <w:pStyle w:val="af"/>
          </w:pPr>
        </w:p>
        <w:p w14:paraId="41BF7FE2" w14:textId="77777777" w:rsidR="00CD12F4" w:rsidRDefault="00000000">
          <w:r>
            <w:fldChar w:fldCharType="begin"/>
          </w:r>
          <w:r>
            <w:instrText>TOC \o "1-3" \h \z \u</w:instrText>
          </w:r>
          <w:r>
            <w:fldChar w:fldCharType="separate"/>
          </w:r>
          <w:r>
            <w:fldChar w:fldCharType="end"/>
          </w:r>
        </w:p>
      </w:sdtContent>
    </w:sdt>
    <w:p w14:paraId="6A99E0DC" w14:textId="77777777" w:rsidR="00CD12F4" w:rsidRDefault="00000000">
      <w:pPr>
        <w:pStyle w:val="1"/>
      </w:pPr>
      <w:bookmarkStart w:id="0" w:name="final-project-controlled-floor-elevator"/>
      <w:r>
        <w:t>Final Project Controlled Floor Elevator</w:t>
      </w:r>
    </w:p>
    <w:p w14:paraId="2C543702" w14:textId="3AE297E3" w:rsidR="00CD12F4" w:rsidRDefault="00000000">
      <w:pPr>
        <w:pStyle w:val="FirstParagraph"/>
      </w:pPr>
      <w:r>
        <w:rPr>
          <w:b/>
          <w:bCs/>
        </w:rPr>
        <w:t>Student:</w:t>
      </w:r>
      <w:r>
        <w:t xml:space="preserve"> Bar Shtainvortzel</w:t>
      </w:r>
      <w:r>
        <w:br/>
      </w:r>
      <w:r>
        <w:rPr>
          <w:b/>
          <w:bCs/>
        </w:rPr>
        <w:t>Institution:</w:t>
      </w:r>
      <w:r>
        <w:t xml:space="preserve"> Ariel University</w:t>
      </w:r>
      <w:r>
        <w:br/>
      </w:r>
      <w:r>
        <w:rPr>
          <w:b/>
          <w:bCs/>
        </w:rPr>
        <w:t>Faculty/School:</w:t>
      </w:r>
      <w:r>
        <w:t xml:space="preserve"> Faculty of Engineering</w:t>
      </w:r>
      <w:r>
        <w:br/>
      </w:r>
      <w:r>
        <w:rPr>
          <w:b/>
          <w:bCs/>
        </w:rPr>
        <w:t>Department:</w:t>
      </w:r>
      <w:r>
        <w:t xml:space="preserve"> Department of Electrical and Electronics</w:t>
      </w:r>
      <w:r>
        <w:br/>
      </w:r>
      <w:r>
        <w:rPr>
          <w:b/>
          <w:bCs/>
        </w:rPr>
        <w:t>Degree/Program:</w:t>
      </w:r>
      <w:r>
        <w:t xml:space="preserve"> B.Sc. program</w:t>
      </w:r>
      <w:r>
        <w:br/>
      </w:r>
      <w:r>
        <w:rPr>
          <w:b/>
          <w:bCs/>
        </w:rPr>
        <w:t>Supervisor:</w:t>
      </w:r>
      <w:r>
        <w:t xml:space="preserve"> Professor Gadi Golan</w:t>
      </w:r>
      <w:r>
        <w:br/>
      </w:r>
      <w:r>
        <w:rPr>
          <w:b/>
          <w:bCs/>
        </w:rPr>
        <w:t>Academic year:</w:t>
      </w:r>
      <w:r>
        <w:t xml:space="preserve"> 4th year</w:t>
      </w:r>
      <w:r>
        <w:br/>
        <w:t xml:space="preserve">Submission date: </w:t>
      </w:r>
    </w:p>
    <w:p w14:paraId="1B351C84" w14:textId="77777777" w:rsidR="002A2E64" w:rsidRDefault="002A2E64">
      <w:pPr>
        <w:pStyle w:val="2"/>
      </w:pPr>
      <w:bookmarkStart w:id="1" w:name="abstract"/>
    </w:p>
    <w:p w14:paraId="3F59EF52" w14:textId="77777777" w:rsidR="002A2E64" w:rsidRDefault="002A2E64">
      <w:pPr>
        <w:pStyle w:val="2"/>
      </w:pPr>
    </w:p>
    <w:p w14:paraId="636A8A53" w14:textId="5F93ACD2" w:rsidR="00CD12F4" w:rsidRDefault="00000000">
      <w:pPr>
        <w:pStyle w:val="2"/>
      </w:pPr>
      <w:r>
        <w:t>1. Abstract</w:t>
      </w:r>
    </w:p>
    <w:p w14:paraId="09497A9B" w14:textId="77777777" w:rsidR="00CD12F4" w:rsidRDefault="00000000">
      <w:pPr>
        <w:pStyle w:val="FirstParagraph"/>
      </w:pPr>
      <w:r>
        <w:t>Floor-selective access control requires a controller to validate a presented credential, locate the corresponding authorization record, decide whether a requested floor is permitted, activate a bounded permission output, and retain an auditable event history. This project addresses that problem as a software-only engineering study because authoritative technical evidence for the motivating commercial item was unavailable. An evidence-led method separated preserved product identification, external technical literature, project-specific design decisions, accepted simulator evidence, and unresolved information. The resulting Python host application implements a deterministic 16-floor access-authorization reference model with a project-defined 26-bit credential frame, an in-memory credential repository, floor-mask decisions, one logical timed output, structured logging, simulated monotonic time, reset, and watchdog recovery. Verification linked every required requirement to executed tests; the accepted implementation milestone recorded 976 collected and passed tests. A bounded quantitative study then reconciled 39,000 mixed controller requests and 24,000 isolated operations with their constructed expected outcomes, including zero mismatches in the isolated lookup and authorization matrices. Host timing was observed for four repository sizes using exactly three measured repetitions per size and operation. These measurements are one-host repetition-level aggregates, not pooled call statistics. The work validates the defined software model under controlled inputs, not a physical reader, elevator installation, commercial controller, real-time system, safety system, or production implementation.</w:t>
      </w:r>
    </w:p>
    <w:p w14:paraId="62F147BA" w14:textId="77777777" w:rsidR="00CD12F4" w:rsidRDefault="00000000">
      <w:pPr>
        <w:pStyle w:val="2"/>
      </w:pPr>
      <w:bookmarkStart w:id="2" w:name="introduction"/>
      <w:bookmarkEnd w:id="1"/>
      <w:r>
        <w:lastRenderedPageBreak/>
        <w:t>2. Introduction</w:t>
      </w:r>
    </w:p>
    <w:p w14:paraId="5D5985FB" w14:textId="77777777" w:rsidR="00CD12F4" w:rsidRDefault="00000000">
      <w:pPr>
        <w:pStyle w:val="3"/>
      </w:pPr>
      <w:bookmarkStart w:id="3" w:name="engineering-motivation"/>
      <w:r>
        <w:t>Engineering motivation</w:t>
      </w:r>
    </w:p>
    <w:p w14:paraId="4E75DF1A" w14:textId="77777777" w:rsidR="00CD12F4" w:rsidRDefault="00000000">
      <w:pPr>
        <w:pStyle w:val="FirstParagraph"/>
      </w:pPr>
      <w:r>
        <w:t>An elevator access layer can be modeled as a selective authorization problem: a credential identifies a record, the record carries permissions, and a floor request is granted only when the corresponding permission is present. Separating this decision from motion control is useful because it yields an explicit and testable boundary. The model can answer whether an abstract floor-permission signal should be active without attempting to command doors, motors, brakes, or any passenger-safety function.</w:t>
      </w:r>
    </w:p>
    <w:p w14:paraId="1AFCB806" w14:textId="77777777" w:rsidR="00CD12F4" w:rsidRDefault="00000000">
      <w:pPr>
        <w:pStyle w:val="a0"/>
      </w:pPr>
      <w:r>
        <w:t>RFID concepts are relevant because many access systems organize information around tags or credentials, readers, and downstream processing. NIST describes RFID systems in terms of tags, readers, and enterprise subsystems, while also distinguishing operating-frequency classes from identifier formats [1]. Reader-to-controller signaling is a separate layer. BALTECH’s Wiegand documentation illustrates a bounded implementation in which D0 and D1 pulses encode bits and frame formats may include parity [2]. These sources motivate the conceptual input boundary; neither establishes a property of the commercial item that prompted this project.</w:t>
      </w:r>
    </w:p>
    <w:p w14:paraId="6C2C6DE8" w14:textId="77777777" w:rsidR="00CD12F4" w:rsidRDefault="00000000">
      <w:pPr>
        <w:pStyle w:val="a0"/>
      </w:pPr>
      <w:r>
        <w:t>Authorization is the central engineering function. General access-control guidance calls for managed authorization credentials or access lists, verification before access is granted, and audit records of physical-access events [3]. The project translates those broad concepts into a deterministic software reference model: a composite credential key, a 16-bit permission mask, an explicit grant/deny decision, a timed logical output, and a structured event record. Those are project choices, not recovered commercial behavior.</w:t>
      </w:r>
    </w:p>
    <w:p w14:paraId="7F81522A" w14:textId="77777777" w:rsidR="00CD12F4" w:rsidRDefault="00000000">
      <w:pPr>
        <w:pStyle w:val="3"/>
      </w:pPr>
      <w:bookmarkStart w:id="4" w:name="objective-and-scope"/>
      <w:bookmarkEnd w:id="3"/>
      <w:r>
        <w:t>Objective and scope</w:t>
      </w:r>
    </w:p>
    <w:p w14:paraId="1F3A2340" w14:textId="77777777" w:rsidR="00CD12F4" w:rsidRDefault="00000000">
      <w:pPr>
        <w:pStyle w:val="FirstParagraph"/>
      </w:pPr>
      <w:r>
        <w:t xml:space="preserve">The objective was to specify, implement, verify, and quantitatively examine a deterministic Python model of a 16-floor access-authorization controller under controlled software inputs. The model begins with a complete logical credential frame, an </w:t>
      </w:r>
      <w:r>
        <w:rPr>
          <w:rStyle w:val="VerbatimChar"/>
        </w:rPr>
        <w:t>LF</w:t>
      </w:r>
      <w:r>
        <w:t xml:space="preserve"> or </w:t>
      </w:r>
      <w:r>
        <w:rPr>
          <w:rStyle w:val="VerbatimChar"/>
        </w:rPr>
        <w:t>HF</w:t>
      </w:r>
      <w:r>
        <w:t xml:space="preserve"> source label, and one requested floor. It ends with a typed decision, one of 16 abstract Boolean permission channels, and an event record. </w:t>
      </w:r>
      <w:r>
        <w:rPr>
          <w:rStyle w:val="VerbatimChar"/>
        </w:rPr>
        <w:t>LF</w:t>
      </w:r>
      <w:r>
        <w:t xml:space="preserve"> and </w:t>
      </w:r>
      <w:r>
        <w:rPr>
          <w:rStyle w:val="VerbatimChar"/>
        </w:rPr>
        <w:t>HF</w:t>
      </w:r>
      <w:r>
        <w:t xml:space="preserve"> are metadata labels only; they do not simulate radio propagation, antennas, modulation, reader electronics, or physical frequency detection.</w:t>
      </w:r>
    </w:p>
    <w:p w14:paraId="146709D2" w14:textId="77777777" w:rsidR="00CD12F4" w:rsidRDefault="00000000">
      <w:pPr>
        <w:pStyle w:val="a0"/>
      </w:pPr>
      <w:r>
        <w:t>The motivating commercial listing and the project-specific reference model must remain distinct. The owner-supplied listing URL identifies the intended item, but no preserved listing capture or manufacturer documentation supports a technical characterization. Consequently, the report does not present the project model as reverse engineering, a commercial implementation, or an equivalent replacement.</w:t>
      </w:r>
    </w:p>
    <w:p w14:paraId="4FF08046" w14:textId="77777777" w:rsidR="00CD12F4" w:rsidRDefault="00000000">
      <w:pPr>
        <w:pStyle w:val="a0"/>
      </w:pPr>
      <w:r>
        <w:t>Figure planned from docs/figures/system_context.mmd; rendering deferred to the controlled document-production stage.</w:t>
      </w:r>
    </w:p>
    <w:p w14:paraId="5875E61A" w14:textId="77777777" w:rsidR="00CD12F4" w:rsidRDefault="00000000">
      <w:pPr>
        <w:pStyle w:val="3"/>
      </w:pPr>
      <w:bookmarkStart w:id="5" w:name="report-organization"/>
      <w:bookmarkEnd w:id="4"/>
      <w:r>
        <w:lastRenderedPageBreak/>
        <w:t>Report organization</w:t>
      </w:r>
    </w:p>
    <w:p w14:paraId="3E096A22" w14:textId="77777777" w:rsidR="00CD12F4" w:rsidRDefault="00000000">
      <w:pPr>
        <w:pStyle w:val="FirstParagraph"/>
      </w:pPr>
      <w:r>
        <w:t>Section 3 inventories the product evidence and its gaps. Section 4 explains the evidence-led research method. Section 5 reviews the bounded technical literature. Sections 6–8 define the requirements, conceptual architecture, and Python implementation. Sections 9–11 describe verification, quantitative results, and their interpretation. Sections 12–13 consolidate limitations, conclusions, and future work. Sections 14–15 provide the bibliography and supporting reproducibility material.</w:t>
      </w:r>
    </w:p>
    <w:p w14:paraId="0A396968" w14:textId="77777777" w:rsidR="00CD12F4" w:rsidRDefault="00000000">
      <w:pPr>
        <w:pStyle w:val="2"/>
      </w:pPr>
      <w:bookmarkStart w:id="6" w:name="Xda1dc1a1725829cde60ee54272add0a08dbdf1c"/>
      <w:bookmarkEnd w:id="2"/>
      <w:bookmarkEnd w:id="5"/>
      <w:r>
        <w:t>3. Product Under Study and Available Evidence</w:t>
      </w:r>
    </w:p>
    <w:p w14:paraId="578D6018" w14:textId="77777777" w:rsidR="00CD12F4" w:rsidRDefault="00000000">
      <w:pPr>
        <w:pStyle w:val="3"/>
      </w:pPr>
      <w:bookmarkStart w:id="7" w:name="preserved-identification-evidence"/>
      <w:r>
        <w:t>Preserved identification evidence</w:t>
      </w:r>
    </w:p>
    <w:p w14:paraId="65AC6417" w14:textId="77777777" w:rsidR="00CD12F4" w:rsidRDefault="00000000">
      <w:pPr>
        <w:pStyle w:val="FirstParagraph"/>
      </w:pPr>
      <w:r>
        <w:t>The intended commercial item is identified by two owner-supplied forms of the same AliExpress URL: the original URL and a canonical item URL. This is verified identification evidence only. Direct listing content was unavailable, and no local capture was preserved. The URL therefore establishes which listing motivated the study but establishes no technical product characteristic.</w:t>
      </w:r>
    </w:p>
    <w:p w14:paraId="2188AB5C" w14:textId="77777777" w:rsidR="00CD12F4" w:rsidRDefault="00000000">
      <w:pPr>
        <w:pStyle w:val="a0"/>
      </w:pPr>
      <w:r>
        <w:t>No product image is included. Original imagery, its provenance, and permission to reproduce it are unavailable. There are also no preserved readable component markings, seller technical statements, schematics, or manufacturer documents. These gaps prevent image-based or document-based inspection of the item.</w:t>
      </w:r>
    </w:p>
    <w:p w14:paraId="1322BC92" w14:textId="77777777" w:rsidR="00CD12F4" w:rsidRDefault="00000000">
      <w:pPr>
        <w:pStyle w:val="3"/>
      </w:pPr>
      <w:bookmarkStart w:id="8" w:name="current-technical-unknowns"/>
      <w:bookmarkEnd w:id="7"/>
      <w:r>
        <w:t>Current technical unknowns</w:t>
      </w:r>
    </w:p>
    <w:p w14:paraId="36A8DFD7" w14:textId="77777777" w:rsidR="00CD12F4" w:rsidRDefault="00000000">
      <w:pPr>
        <w:pStyle w:val="FirstParagraph"/>
      </w:pPr>
      <w:r>
        <w:t>The following table records unknowns rather than negative findings.</w:t>
      </w:r>
    </w:p>
    <w:tbl>
      <w:tblPr>
        <w:tblStyle w:val="Table"/>
        <w:tblW w:w="5000" w:type="pct"/>
        <w:tblLayout w:type="fixed"/>
        <w:tblLook w:val="0020" w:firstRow="1" w:lastRow="0" w:firstColumn="0" w:lastColumn="0" w:noHBand="0" w:noVBand="0"/>
      </w:tblPr>
      <w:tblGrid>
        <w:gridCol w:w="3192"/>
        <w:gridCol w:w="3192"/>
        <w:gridCol w:w="3192"/>
      </w:tblGrid>
      <w:tr w:rsidR="00CD12F4" w14:paraId="29612425" w14:textId="77777777" w:rsidTr="00CD12F4">
        <w:trPr>
          <w:cnfStyle w:val="100000000000" w:firstRow="1" w:lastRow="0" w:firstColumn="0" w:lastColumn="0" w:oddVBand="0" w:evenVBand="0" w:oddHBand="0" w:evenHBand="0" w:firstRowFirstColumn="0" w:firstRowLastColumn="0" w:lastRowFirstColumn="0" w:lastRowLastColumn="0"/>
          <w:tblHeader/>
        </w:trPr>
        <w:tc>
          <w:tcPr>
            <w:tcW w:w="2640" w:type="dxa"/>
          </w:tcPr>
          <w:p w14:paraId="07A01ACB" w14:textId="77777777" w:rsidR="00CD12F4" w:rsidRDefault="00000000">
            <w:pPr>
              <w:pStyle w:val="Compact"/>
            </w:pPr>
            <w:r>
              <w:t>Topic</w:t>
            </w:r>
          </w:p>
        </w:tc>
        <w:tc>
          <w:tcPr>
            <w:tcW w:w="2640" w:type="dxa"/>
          </w:tcPr>
          <w:p w14:paraId="24308F80" w14:textId="77777777" w:rsidR="00CD12F4" w:rsidRDefault="00000000">
            <w:pPr>
              <w:pStyle w:val="Compact"/>
            </w:pPr>
            <w:r>
              <w:t>Evidence status</w:t>
            </w:r>
          </w:p>
        </w:tc>
        <w:tc>
          <w:tcPr>
            <w:tcW w:w="2640" w:type="dxa"/>
          </w:tcPr>
          <w:p w14:paraId="75FDEC5A" w14:textId="77777777" w:rsidR="00CD12F4" w:rsidRDefault="00000000">
            <w:pPr>
              <w:pStyle w:val="Compact"/>
            </w:pPr>
            <w:r>
              <w:t>Permitted conclusion</w:t>
            </w:r>
          </w:p>
        </w:tc>
      </w:tr>
      <w:tr w:rsidR="00CD12F4" w14:paraId="00E7E3AB" w14:textId="77777777">
        <w:tc>
          <w:tcPr>
            <w:tcW w:w="2640" w:type="dxa"/>
          </w:tcPr>
          <w:p w14:paraId="0EB46534" w14:textId="77777777" w:rsidR="00CD12F4" w:rsidRDefault="00000000">
            <w:pPr>
              <w:pStyle w:val="Compact"/>
            </w:pPr>
            <w:r>
              <w:t>Processor or controller architecture</w:t>
            </w:r>
          </w:p>
        </w:tc>
        <w:tc>
          <w:tcPr>
            <w:tcW w:w="2640" w:type="dxa"/>
          </w:tcPr>
          <w:p w14:paraId="399B337D" w14:textId="77777777" w:rsidR="00CD12F4" w:rsidRDefault="00000000">
            <w:pPr>
              <w:pStyle w:val="Compact"/>
            </w:pPr>
            <w:r>
              <w:t>No marking, schematic, or manufacturer manual is available</w:t>
            </w:r>
          </w:p>
        </w:tc>
        <w:tc>
          <w:tcPr>
            <w:tcW w:w="2640" w:type="dxa"/>
          </w:tcPr>
          <w:p w14:paraId="121313B6" w14:textId="77777777" w:rsidR="00CD12F4" w:rsidRDefault="00000000">
            <w:pPr>
              <w:pStyle w:val="Compact"/>
            </w:pPr>
            <w:r>
              <w:t>The commercial processor architecture and specific MCU remain unknown</w:t>
            </w:r>
          </w:p>
        </w:tc>
      </w:tr>
      <w:tr w:rsidR="00CD12F4" w14:paraId="597A1D48" w14:textId="77777777">
        <w:tc>
          <w:tcPr>
            <w:tcW w:w="2640" w:type="dxa"/>
          </w:tcPr>
          <w:p w14:paraId="5B15D396" w14:textId="77777777" w:rsidR="00CD12F4" w:rsidRDefault="00000000">
            <w:pPr>
              <w:pStyle w:val="Compact"/>
            </w:pPr>
            <w:r>
              <w:t>RFID technology</w:t>
            </w:r>
          </w:p>
        </w:tc>
        <w:tc>
          <w:tcPr>
            <w:tcW w:w="2640" w:type="dxa"/>
          </w:tcPr>
          <w:p w14:paraId="6F6311BC" w14:textId="77777777" w:rsidR="00CD12F4" w:rsidRDefault="00000000">
            <w:pPr>
              <w:pStyle w:val="Compact"/>
            </w:pPr>
            <w:r>
              <w:t>No product-specific technical source is available</w:t>
            </w:r>
          </w:p>
        </w:tc>
        <w:tc>
          <w:tcPr>
            <w:tcW w:w="2640" w:type="dxa"/>
          </w:tcPr>
          <w:p w14:paraId="46AC4259" w14:textId="77777777" w:rsidR="00CD12F4" w:rsidRDefault="00000000">
            <w:pPr>
              <w:pStyle w:val="Compact"/>
            </w:pPr>
            <w:r>
              <w:t>Commercial frequencies, credential technologies, and smart-card protocols remain unknown</w:t>
            </w:r>
          </w:p>
        </w:tc>
      </w:tr>
      <w:tr w:rsidR="00CD12F4" w14:paraId="5B77BD27" w14:textId="77777777">
        <w:tc>
          <w:tcPr>
            <w:tcW w:w="2640" w:type="dxa"/>
          </w:tcPr>
          <w:p w14:paraId="3CC241E7" w14:textId="77777777" w:rsidR="00CD12F4" w:rsidRDefault="00000000">
            <w:pPr>
              <w:pStyle w:val="Compact"/>
            </w:pPr>
            <w:r>
              <w:t>Reader/controller signaling</w:t>
            </w:r>
          </w:p>
        </w:tc>
        <w:tc>
          <w:tcPr>
            <w:tcW w:w="2640" w:type="dxa"/>
          </w:tcPr>
          <w:p w14:paraId="0367003B" w14:textId="77777777" w:rsidR="00CD12F4" w:rsidRDefault="00000000">
            <w:pPr>
              <w:pStyle w:val="Compact"/>
            </w:pPr>
            <w:r>
              <w:t>No supported interface description is available</w:t>
            </w:r>
          </w:p>
        </w:tc>
        <w:tc>
          <w:tcPr>
            <w:tcW w:w="2640" w:type="dxa"/>
          </w:tcPr>
          <w:p w14:paraId="21808B96" w14:textId="77777777" w:rsidR="00CD12F4" w:rsidRDefault="00000000">
            <w:pPr>
              <w:pStyle w:val="Compact"/>
            </w:pPr>
            <w:r>
              <w:t>Commercial Wiegand support, frame formats, and direction remain unknown</w:t>
            </w:r>
          </w:p>
        </w:tc>
      </w:tr>
      <w:tr w:rsidR="00CD12F4" w14:paraId="665604DE" w14:textId="77777777">
        <w:tc>
          <w:tcPr>
            <w:tcW w:w="2640" w:type="dxa"/>
          </w:tcPr>
          <w:p w14:paraId="1BA05BD5" w14:textId="77777777" w:rsidR="00CD12F4" w:rsidRDefault="00000000">
            <w:pPr>
              <w:pStyle w:val="Compact"/>
            </w:pPr>
            <w:r>
              <w:t>Electrical output</w:t>
            </w:r>
          </w:p>
        </w:tc>
        <w:tc>
          <w:tcPr>
            <w:tcW w:w="2640" w:type="dxa"/>
          </w:tcPr>
          <w:p w14:paraId="71EFCBF9" w14:textId="77777777" w:rsidR="00CD12F4" w:rsidRDefault="00000000">
            <w:pPr>
              <w:pStyle w:val="Compact"/>
            </w:pPr>
            <w:r>
              <w:t>No datasheet or circuit evidence is available</w:t>
            </w:r>
          </w:p>
        </w:tc>
        <w:tc>
          <w:tcPr>
            <w:tcW w:w="2640" w:type="dxa"/>
          </w:tcPr>
          <w:p w14:paraId="1771083F" w14:textId="77777777" w:rsidR="00CD12F4" w:rsidRDefault="00000000">
            <w:pPr>
              <w:pStyle w:val="Compact"/>
            </w:pPr>
            <w:r>
              <w:t>Output topology, isolation, voltage, and current characteristics remain unknown</w:t>
            </w:r>
          </w:p>
        </w:tc>
      </w:tr>
      <w:tr w:rsidR="00CD12F4" w14:paraId="26D9B0BA" w14:textId="77777777">
        <w:tc>
          <w:tcPr>
            <w:tcW w:w="2640" w:type="dxa"/>
          </w:tcPr>
          <w:p w14:paraId="0D05AA65" w14:textId="77777777" w:rsidR="00CD12F4" w:rsidRDefault="00000000">
            <w:pPr>
              <w:pStyle w:val="Compact"/>
            </w:pPr>
            <w:r>
              <w:t>Elevator interface</w:t>
            </w:r>
          </w:p>
        </w:tc>
        <w:tc>
          <w:tcPr>
            <w:tcW w:w="2640" w:type="dxa"/>
          </w:tcPr>
          <w:p w14:paraId="2D668DD4" w14:textId="77777777" w:rsidR="00CD12F4" w:rsidRDefault="00000000">
            <w:pPr>
              <w:pStyle w:val="Compact"/>
            </w:pPr>
            <w:r>
              <w:t>No wiring or installation document is available</w:t>
            </w:r>
          </w:p>
        </w:tc>
        <w:tc>
          <w:tcPr>
            <w:tcW w:w="2640" w:type="dxa"/>
          </w:tcPr>
          <w:p w14:paraId="525BCD24" w14:textId="77777777" w:rsidR="00CD12F4" w:rsidRDefault="00000000">
            <w:pPr>
              <w:pStyle w:val="Compact"/>
            </w:pPr>
            <w:r>
              <w:t xml:space="preserve">Physical connection and behavior at an elevator </w:t>
            </w:r>
            <w:r>
              <w:lastRenderedPageBreak/>
              <w:t>interface remain unknown</w:t>
            </w:r>
          </w:p>
        </w:tc>
      </w:tr>
      <w:tr w:rsidR="00CD12F4" w14:paraId="6FA23F21" w14:textId="77777777">
        <w:tc>
          <w:tcPr>
            <w:tcW w:w="2640" w:type="dxa"/>
          </w:tcPr>
          <w:p w14:paraId="085D9076" w14:textId="77777777" w:rsidR="00CD12F4" w:rsidRDefault="00000000">
            <w:pPr>
              <w:pStyle w:val="Compact"/>
            </w:pPr>
            <w:r>
              <w:lastRenderedPageBreak/>
              <w:t>Firmware</w:t>
            </w:r>
          </w:p>
        </w:tc>
        <w:tc>
          <w:tcPr>
            <w:tcW w:w="2640" w:type="dxa"/>
          </w:tcPr>
          <w:p w14:paraId="087BBDE3" w14:textId="77777777" w:rsidR="00CD12F4" w:rsidRDefault="00000000">
            <w:pPr>
              <w:pStyle w:val="Compact"/>
            </w:pPr>
            <w:r>
              <w:t>No firmware image, source, or architecture document is available</w:t>
            </w:r>
          </w:p>
        </w:tc>
        <w:tc>
          <w:tcPr>
            <w:tcW w:w="2640" w:type="dxa"/>
          </w:tcPr>
          <w:p w14:paraId="0E3057BA" w14:textId="77777777" w:rsidR="00CD12F4" w:rsidRDefault="00000000">
            <w:pPr>
              <w:pStyle w:val="Compact"/>
            </w:pPr>
            <w:r>
              <w:t>Commercial firmware architecture and behavior remain unknown</w:t>
            </w:r>
          </w:p>
        </w:tc>
      </w:tr>
      <w:tr w:rsidR="00CD12F4" w14:paraId="2F8F5E69" w14:textId="77777777">
        <w:tc>
          <w:tcPr>
            <w:tcW w:w="2640" w:type="dxa"/>
          </w:tcPr>
          <w:p w14:paraId="3E5CB68C" w14:textId="77777777" w:rsidR="00CD12F4" w:rsidRDefault="00000000">
            <w:pPr>
              <w:pStyle w:val="Compact"/>
            </w:pPr>
            <w:r>
              <w:t>Compliance and safety</w:t>
            </w:r>
          </w:p>
        </w:tc>
        <w:tc>
          <w:tcPr>
            <w:tcW w:w="2640" w:type="dxa"/>
          </w:tcPr>
          <w:p w14:paraId="05D3DF85" w14:textId="77777777" w:rsidR="00CD12F4" w:rsidRDefault="00000000">
            <w:pPr>
              <w:pStyle w:val="Compact"/>
            </w:pPr>
            <w:r>
              <w:t>No authoritative certificate or safety assessment is available</w:t>
            </w:r>
          </w:p>
        </w:tc>
        <w:tc>
          <w:tcPr>
            <w:tcW w:w="2640" w:type="dxa"/>
          </w:tcPr>
          <w:p w14:paraId="2C32AFCF" w14:textId="77777777" w:rsidR="00CD12F4" w:rsidRDefault="00000000">
            <w:pPr>
              <w:pStyle w:val="Compact"/>
            </w:pPr>
            <w:r>
              <w:t>Certification and safety behavior remain unknown</w:t>
            </w:r>
          </w:p>
        </w:tc>
      </w:tr>
    </w:tbl>
    <w:p w14:paraId="2A259D31" w14:textId="77777777" w:rsidR="00CD12F4" w:rsidRDefault="00000000">
      <w:pPr>
        <w:pStyle w:val="a0"/>
      </w:pPr>
      <w:r>
        <w:t>Absence of preserved evidence is not evidence that the product lacks any listed technology or property. It only prevents an affirmative technical attribution. Representative ARM, STM32, and Marvell literature used elsewhere in this report is not substituted for missing product evidence. Likewise, the project-defined RFID labels, 26-bit frame, credential store, outputs, watchdog, and event log describe the proposed reference model and must not be read as observations of the commercial item.</w:t>
      </w:r>
    </w:p>
    <w:p w14:paraId="000C1960" w14:textId="77777777" w:rsidR="00CD12F4" w:rsidRDefault="00000000">
      <w:pPr>
        <w:pStyle w:val="2"/>
      </w:pPr>
      <w:bookmarkStart w:id="9" w:name="research-methodology-and-limitations"/>
      <w:bookmarkEnd w:id="6"/>
      <w:bookmarkEnd w:id="8"/>
      <w:r>
        <w:t>4. Research Methodology and Limitations</w:t>
      </w:r>
    </w:p>
    <w:p w14:paraId="6B3630AB" w14:textId="77777777" w:rsidR="00CD12F4" w:rsidRDefault="00000000">
      <w:pPr>
        <w:pStyle w:val="3"/>
      </w:pPr>
      <w:bookmarkStart w:id="10" w:name="evidence-led-method"/>
      <w:r>
        <w:t>Evidence-led method</w:t>
      </w:r>
    </w:p>
    <w:p w14:paraId="18F60430" w14:textId="77777777" w:rsidR="00CD12F4" w:rsidRDefault="00000000">
      <w:pPr>
        <w:pStyle w:val="FirstParagraph"/>
      </w:pPr>
      <w:r>
        <w:t>The study applied a source hierarchy to keep claims proportional to their support. Directly preserved material about the item was classified as verified product evidence. Manufacturer manuals and government or vendor guidance were treated as external technical evidence only within their documented scope. A reasoned project interpretation was classified as engineering inference. A selected simulator behavior was classified as a proposed reference design. Executed software outcomes became accepted simulator evidence, and reviewed quantitative artifacts became supported quantitative claims with explicit limitations. Human decisions governed title, report metadata, scope, and drafting authorization. Information not established by those sources remained unknown or unresolved.</w:t>
      </w:r>
    </w:p>
    <w:p w14:paraId="310B747D" w14:textId="77777777" w:rsidR="00CD12F4" w:rsidRDefault="00000000">
      <w:pPr>
        <w:pStyle w:val="a0"/>
      </w:pPr>
      <w:r>
        <w:t>This hierarchy was operationalized through claim/source mapping. High-impact report claims were associated with canonical repository paths, evidence classes, required qualifiers, and review statuses before prose was written. A lower-authority source was never used to strengthen a claim beyond its own boundary. In particular, an embedded-controller manual could explain a representative reset or watchdog concept but could not identify the commercial controller; a simulator test could verify modeled reset behavior but could not validate a physical safety response.</w:t>
      </w:r>
    </w:p>
    <w:p w14:paraId="1F80AB17" w14:textId="77777777" w:rsidR="00CD12F4" w:rsidRDefault="00000000">
      <w:pPr>
        <w:pStyle w:val="3"/>
      </w:pPr>
      <w:bookmarkStart w:id="11" w:name="X20a4db00b789e3a707972858c70e358814d1cb6"/>
      <w:bookmarkEnd w:id="10"/>
      <w:r>
        <w:t>Model construction and verification discipline</w:t>
      </w:r>
    </w:p>
    <w:p w14:paraId="2630565E" w14:textId="77777777" w:rsidR="00CD12F4" w:rsidRDefault="00000000">
      <w:pPr>
        <w:pStyle w:val="FirstParagraph"/>
      </w:pPr>
      <w:r>
        <w:t xml:space="preserve">The proposed system boundary was frozen before implementation. Requirements defined observable behavior and exclusions; architecture assigned state ownership and ordering; the software design specified immutable data boundaries, manager responsibilities, failure policy, and simulated time. The Python implementation then used generated </w:t>
      </w:r>
      <w:r>
        <w:lastRenderedPageBreak/>
        <w:t>complete frames, validated startup data, an in-memory repository, and an injectable monotonic clock. Identical controlled inputs, initial state, configuration, and time schedule were expected to produce identical logical decisions and normalized events.</w:t>
      </w:r>
    </w:p>
    <w:p w14:paraId="276E12CA" w14:textId="77777777" w:rsidR="00CD12F4" w:rsidRDefault="00000000">
      <w:pPr>
        <w:pStyle w:val="a0"/>
      </w:pPr>
      <w:r>
        <w:t>Requirements-to-test traceability connected every required requirement to at least one planned and then executed test or inspection. The approach is consistent with NASA software-engineering guidance on bidirectional traceability, controlled test procedures, unit testing, and evaluation of results against criteria [4]. That guidance informed verification discipline; it did not independently validate this implementation.</w:t>
      </w:r>
    </w:p>
    <w:p w14:paraId="44D3A387" w14:textId="77777777" w:rsidR="00CD12F4" w:rsidRDefault="00000000">
      <w:pPr>
        <w:pStyle w:val="a0"/>
      </w:pPr>
      <w:r>
        <w:t xml:space="preserve">Quantitative experiments were defined separately from domain-time tests. Constructed workloads were regenerated from recorded configuration identifiers and seeds. Host execution was instrumented with </w:t>
      </w:r>
      <w:r>
        <w:rPr>
          <w:rStyle w:val="VerbatimChar"/>
        </w:rPr>
        <w:t>time.perf_counter_ns</w:t>
      </w:r>
      <w:r>
        <w:t>, whereas controller time remained simulated. Mixed controller processing, direct repository lookup, and direct authorization were measured as different operation boundaries. An independent review reconciled accepted source hashes, counts, tables, figures, anomalies, and report-usable wording without adding new measurements.</w:t>
      </w:r>
    </w:p>
    <w:p w14:paraId="06354B36" w14:textId="77777777" w:rsidR="00CD12F4" w:rsidRDefault="00000000">
      <w:pPr>
        <w:pStyle w:val="3"/>
      </w:pPr>
      <w:bookmarkStart w:id="12" w:name="limitations-of-the-method"/>
      <w:bookmarkEnd w:id="11"/>
      <w:r>
        <w:t>Limitations of the method</w:t>
      </w:r>
    </w:p>
    <w:p w14:paraId="45930FF0" w14:textId="77777777" w:rsidR="00CD12F4" w:rsidRDefault="00000000">
      <w:pPr>
        <w:pStyle w:val="FirstParagraph"/>
      </w:pPr>
      <w:r>
        <w:t>The method controls overstatement but does not remove missing evidence. It is not an exhaustive review of every RFID, access-control, embedded, or elevator-integration source. Human decision gates establish project governance, not technical proof. Deterministic simulation evaluates the proposed software contracts only. Unresolved product, physical-integration, safety, and university-administration information remains explicit rather than being filled with general knowledge.</w:t>
      </w:r>
    </w:p>
    <w:p w14:paraId="35D7424E" w14:textId="77777777" w:rsidR="00CD12F4" w:rsidRDefault="00000000">
      <w:pPr>
        <w:pStyle w:val="2"/>
      </w:pPr>
      <w:bookmarkStart w:id="13" w:name="literature-review"/>
      <w:bookmarkEnd w:id="9"/>
      <w:bookmarkEnd w:id="12"/>
      <w:r>
        <w:t>5. Literature Review</w:t>
      </w:r>
    </w:p>
    <w:p w14:paraId="1E177531" w14:textId="77777777" w:rsidR="00CD12F4" w:rsidRDefault="00000000">
      <w:pPr>
        <w:pStyle w:val="3"/>
      </w:pPr>
      <w:bookmarkStart w:id="14" w:name="rfid-concepts-and-technology-layers"/>
      <w:r>
        <w:t>RFID concepts and technology layers</w:t>
      </w:r>
    </w:p>
    <w:p w14:paraId="04F79DE3" w14:textId="77777777" w:rsidR="00CD12F4" w:rsidRDefault="00000000">
      <w:pPr>
        <w:pStyle w:val="FirstParagraph"/>
      </w:pPr>
      <w:r>
        <w:t>NIST SP 800-98 describes general RFID systems as combinations of tags, readers, and processing subsystems, and discusses passive and active tags, operating ranges, data characteristics, and security risks [1]. For this report, the important systems insight is that carrier-frequency class, credential or identifier format, and downstream reader output are different characteristics. An LF or HF category cannot be inferred from a controller-side 26-bit credential value, and a frequency class does not itself determine a Wiegand frame.</w:t>
      </w:r>
    </w:p>
    <w:p w14:paraId="2A70D313" w14:textId="77777777" w:rsidR="00CD12F4" w:rsidRDefault="00000000">
      <w:pPr>
        <w:pStyle w:val="a0"/>
      </w:pPr>
      <w:r>
        <w:t xml:space="preserve">The project therefore represents </w:t>
      </w:r>
      <w:r>
        <w:rPr>
          <w:rStyle w:val="VerbatimChar"/>
        </w:rPr>
        <w:t>LF</w:t>
      </w:r>
      <w:r>
        <w:t xml:space="preserve"> and </w:t>
      </w:r>
      <w:r>
        <w:rPr>
          <w:rStyle w:val="VerbatimChar"/>
        </w:rPr>
        <w:t>HF</w:t>
      </w:r>
      <w:r>
        <w:t xml:space="preserve"> only as externally supplied logical metadata. General literature can explain low- and high-frequency classes, but it cannot assign either class, a credential technology, or a smart-card protocol to the commercial item. Detailed protocol coverage was not needed to verify the selected abstract authorization boundary and remains a potential literature extension.</w:t>
      </w:r>
    </w:p>
    <w:p w14:paraId="455E4FED" w14:textId="77777777" w:rsidR="00CD12F4" w:rsidRDefault="00000000">
      <w:pPr>
        <w:pStyle w:val="3"/>
      </w:pPr>
      <w:bookmarkStart w:id="15" w:name="wiegand-signaling-and-frame-concepts"/>
      <w:bookmarkEnd w:id="14"/>
      <w:r>
        <w:lastRenderedPageBreak/>
        <w:t>Wiegand signaling and frame concepts</w:t>
      </w:r>
    </w:p>
    <w:p w14:paraId="4E2D10A3" w14:textId="77777777" w:rsidR="00CD12F4" w:rsidRDefault="00000000">
      <w:pPr>
        <w:pStyle w:val="FirstParagraph"/>
      </w:pPr>
      <w:r>
        <w:t>BALTECH documents its reader behavior using D0 and D1 data wires, low pulses for binary symbols, variable message sizes, and frame formats that may include leading even and trailing odd parity [2]. This is useful evidence for the existence of those bounded signaling and framing concepts. It is not a universal electrical Wiegand standard, does not define all implementations, and does not demonstrate that the commercial product supports Wiegand.</w:t>
      </w:r>
    </w:p>
    <w:p w14:paraId="31E41961" w14:textId="77777777" w:rsidR="00CD12F4" w:rsidRDefault="00000000">
      <w:pPr>
        <w:pStyle w:val="a0"/>
      </w:pPr>
      <w:r>
        <w:t xml:space="preserve">The exact </w:t>
      </w:r>
      <w:r>
        <w:rPr>
          <w:rStyle w:val="VerbatimChar"/>
        </w:rPr>
        <w:t>PROJECT_WIEGAND_26</w:t>
      </w:r>
      <w:r>
        <w:t xml:space="preserve"> allocation used here is consequently a project-specific profile. External literature supports the general ideas of serial bit representation, frame length, and parity; the field positions and parity coverage used by the simulator are controlled design decisions.</w:t>
      </w:r>
    </w:p>
    <w:p w14:paraId="16AE61C0" w14:textId="77777777" w:rsidR="00CD12F4" w:rsidRDefault="00000000">
      <w:pPr>
        <w:pStyle w:val="3"/>
      </w:pPr>
      <w:bookmarkStart w:id="16" w:name="authorization-and-auditability"/>
      <w:bookmarkEnd w:id="15"/>
      <w:r>
        <w:t>Authorization and auditability</w:t>
      </w:r>
    </w:p>
    <w:p w14:paraId="3AE8CF7A" w14:textId="77777777" w:rsidR="00CD12F4" w:rsidRDefault="00000000">
      <w:pPr>
        <w:pStyle w:val="FirstParagraph"/>
      </w:pPr>
      <w:r>
        <w:t>NIST SP 800-53 Rev. 5 addresses authorization credentials, approved access lists, verification before granting access, and maintenance of access audit logs in organizational physical-access controls [3]. These principles support separating credential lookup, authorization decision, output action, and event recording. They do not prescribe the simulator’s tuple key, 16-bit floor mask, in-memory data structure, denial precedence, or event schema. Those details were chosen to make the reference model bounded, deterministic, and testable.</w:t>
      </w:r>
    </w:p>
    <w:p w14:paraId="106C552A" w14:textId="77777777" w:rsidR="00CD12F4" w:rsidRDefault="00000000">
      <w:pPr>
        <w:pStyle w:val="3"/>
      </w:pPr>
      <w:bookmarkStart w:id="17" w:name="X447473c8b1a049a07d568f985637419f3d77afd"/>
      <w:bookmarkEnd w:id="16"/>
      <w:r>
        <w:t>Representative embedded-controller literature</w:t>
      </w:r>
    </w:p>
    <w:p w14:paraId="270BD791" w14:textId="77777777" w:rsidR="00CD12F4" w:rsidRDefault="00000000">
      <w:pPr>
        <w:pStyle w:val="FirstParagraph"/>
      </w:pPr>
      <w:r>
        <w:t>The STMicroelectronics RM0008 reference manual describes memory organization, reset and clock control, GPIO, interrupts, timers, watchdogs, and communication peripherals for specified STM32F10xxx devices [5]. The ARM Developer Suite guide supplies historical context for initialization, exception handling, ROM-oriented development, memory maps, and debugging [6]. The ARMv7-A/R Architecture Reference Manual defines A- and R-profile concepts and explicitly separates its scope from the M-profile documentation used for microcontroller architectures [7]. ARMv7-A/R is therefore not Cortex-M documentation. The Marvell ARMADA 38x specification is used only as an example of functional-specification organization, including subsystem descriptions, address-map presentation, boot flow, timers, and watchdog material [8].</w:t>
      </w:r>
    </w:p>
    <w:p w14:paraId="0C59AF12" w14:textId="77777777" w:rsidR="00CD12F4" w:rsidRDefault="00000000">
      <w:pPr>
        <w:pStyle w:val="a0"/>
      </w:pPr>
      <w:r>
        <w:t>All four are representative literature. STM32 material does not establish the commercial controller’s MCU; ARM material does not establish any commercial processor; and ARMADA is neither a selected project processor nor product evidence. Their value is in disciplined terminology and documentation structure, not attribution.</w:t>
      </w:r>
    </w:p>
    <w:p w14:paraId="679DED66" w14:textId="77777777" w:rsidR="00CD12F4" w:rsidRDefault="00000000">
      <w:pPr>
        <w:pStyle w:val="3"/>
      </w:pPr>
      <w:bookmarkStart w:id="18" w:name="X728f773004f58461be8f68a8a5a3f5f1b68d675"/>
      <w:bookmarkEnd w:id="17"/>
      <w:r>
        <w:t>Verification literature and remaining gaps</w:t>
      </w:r>
    </w:p>
    <w:p w14:paraId="30A9542C" w14:textId="77777777" w:rsidR="00CD12F4" w:rsidRDefault="00000000">
      <w:pPr>
        <w:pStyle w:val="FirstParagraph"/>
      </w:pPr>
      <w:r>
        <w:t xml:space="preserve">NASA handbook guidance supports traceability from requirements to verification, controlled procedures and expected results, unit and integration levels, and evaluation of outcomes [4]. The project applied those ideas through a test inventory, a requirements </w:t>
      </w:r>
      <w:r>
        <w:lastRenderedPageBreak/>
        <w:t>traceability matrix, executed verification records, reproducible configurations, and independent quantitative review.</w:t>
      </w:r>
    </w:p>
    <w:p w14:paraId="6B0EE7F6" w14:textId="77777777" w:rsidR="00CD12F4" w:rsidRDefault="00000000">
      <w:pPr>
        <w:pStyle w:val="a0"/>
      </w:pPr>
      <w:r>
        <w:t>Authoritative physical elevator-integration literature and application-specific safety terminology were not available in the accepted source set. Those gaps are nonblocking for an abstract software model but prevent wiring, installation, physical reliability, or safety conclusions. Educational ARM files with incomplete author or date metadata were not promoted into the bibliography. The cited sources below are limited to records whose metadata and intended use were accepted for this draft.</w:t>
      </w:r>
    </w:p>
    <w:p w14:paraId="35E5A940" w14:textId="77777777" w:rsidR="00CD12F4" w:rsidRDefault="00000000">
      <w:pPr>
        <w:pStyle w:val="2"/>
      </w:pPr>
      <w:bookmarkStart w:id="19" w:name="requirements-and-system-boundary"/>
      <w:bookmarkEnd w:id="13"/>
      <w:bookmarkEnd w:id="18"/>
      <w:r>
        <w:t>6. Requirements and System Boundary</w:t>
      </w:r>
    </w:p>
    <w:p w14:paraId="469AD0D8" w14:textId="77777777" w:rsidR="00CD12F4" w:rsidRDefault="00000000">
      <w:pPr>
        <w:pStyle w:val="3"/>
      </w:pPr>
      <w:bookmarkStart w:id="20" w:name="accepted-requirement-inventory"/>
      <w:r>
        <w:t>Accepted requirement inventory</w:t>
      </w:r>
    </w:p>
    <w:p w14:paraId="3C4ACB15" w14:textId="77777777" w:rsidR="00CD12F4" w:rsidRDefault="00000000">
      <w:pPr>
        <w:pStyle w:val="FirstParagraph"/>
      </w:pPr>
      <w:r>
        <w:t>The accepted catalog contains 66 requirements: 60 required and six optional. All 60 required rows are verified in the accepted implementation scope. The six optional rows remain deferred and are not presented as implemented. They concern additional Wiegand profiles, additional authorization policies, persistent local credentials, enhanced interfaces, physical adapters, and extra experiment sizes.</w:t>
      </w:r>
    </w:p>
    <w:p w14:paraId="1C5DAB97" w14:textId="77777777" w:rsidR="00CD12F4" w:rsidRDefault="00000000">
      <w:pPr>
        <w:pStyle w:val="a0"/>
      </w:pPr>
      <w:r>
        <w:t>The required system is a deterministic software-only access-authorization layer. It starts after physical signal acquisition, with one complete frame, one logical reader-source label, and one requested floor. It ends at a typed outcome, structured event, and 16 Boolean permission-output channels. It does not include RF behavior, physical readers, voltage/current interfaces, elevator wiring, movement, motors, brakes, doors, passenger-safety logic, installation, or certification.</w:t>
      </w:r>
    </w:p>
    <w:p w14:paraId="508C73DB" w14:textId="77777777" w:rsidR="00CD12F4" w:rsidRDefault="00000000">
      <w:pPr>
        <w:pStyle w:val="3"/>
      </w:pPr>
      <w:bookmarkStart w:id="21" w:name="credential-and-frame-requirements"/>
      <w:bookmarkEnd w:id="20"/>
      <w:r>
        <w:t>Credential and frame requirements</w:t>
      </w:r>
    </w:p>
    <w:p w14:paraId="374574A5" w14:textId="77777777" w:rsidR="00CD12F4" w:rsidRDefault="00000000">
      <w:pPr>
        <w:pStyle w:val="FirstParagraph"/>
      </w:pPr>
      <w:r>
        <w:t xml:space="preserve">The model supports floors 1–16. Floor 1 maps to permission bit 0 and floor 16 maps to bit 15. A credential record contains a facility code, credential number, enabled flag, unsigned 16-bit floor mask, and optional label. Its lookup key is the ordered pair </w:t>
      </w:r>
      <w:r>
        <w:rPr>
          <w:rStyle w:val="VerbatimChar"/>
        </w:rPr>
        <w:t>(facility_code, credential_number)</w:t>
      </w:r>
      <w:r>
        <w:t>; arithmetic addition is not used, duplicate keys are rejected, and the required repository is in memory.</w:t>
      </w:r>
    </w:p>
    <w:p w14:paraId="7E98C0D8" w14:textId="77777777" w:rsidR="00CD12F4" w:rsidRDefault="00000000">
      <w:pPr>
        <w:pStyle w:val="a0"/>
      </w:pPr>
      <w:r>
        <w:t xml:space="preserve">Both </w:t>
      </w:r>
      <w:r>
        <w:rPr>
          <w:rStyle w:val="VerbatimChar"/>
        </w:rPr>
        <w:t>LF</w:t>
      </w:r>
      <w:r>
        <w:t xml:space="preserve"> and </w:t>
      </w:r>
      <w:r>
        <w:rPr>
          <w:rStyle w:val="VerbatimChar"/>
        </w:rPr>
        <w:t>HF</w:t>
      </w:r>
      <w:r>
        <w:t xml:space="preserve"> requests use the project-specific </w:t>
      </w:r>
      <w:r>
        <w:rPr>
          <w:rStyle w:val="VerbatimChar"/>
        </w:rPr>
        <w:t>PROJECT_WIEGAND_26</w:t>
      </w:r>
      <w:r>
        <w:t xml:space="preserve"> profile. The source label is stored separately and cannot be derived from the bits. Frame allocation is:</w:t>
      </w:r>
    </w:p>
    <w:tbl>
      <w:tblPr>
        <w:tblStyle w:val="Table"/>
        <w:tblW w:w="5000" w:type="pct"/>
        <w:tblLayout w:type="fixed"/>
        <w:tblLook w:val="0020" w:firstRow="1" w:lastRow="0" w:firstColumn="0" w:lastColumn="0" w:noHBand="0" w:noVBand="0"/>
      </w:tblPr>
      <w:tblGrid>
        <w:gridCol w:w="3192"/>
        <w:gridCol w:w="3192"/>
        <w:gridCol w:w="3192"/>
      </w:tblGrid>
      <w:tr w:rsidR="00CD12F4" w14:paraId="1A400685" w14:textId="77777777" w:rsidTr="00CD12F4">
        <w:trPr>
          <w:cnfStyle w:val="100000000000" w:firstRow="1" w:lastRow="0" w:firstColumn="0" w:lastColumn="0" w:oddVBand="0" w:evenVBand="0" w:oddHBand="0" w:evenHBand="0" w:firstRowFirstColumn="0" w:firstRowLastColumn="0" w:lastRowFirstColumn="0" w:lastRowLastColumn="0"/>
          <w:tblHeader/>
        </w:trPr>
        <w:tc>
          <w:tcPr>
            <w:tcW w:w="2640" w:type="dxa"/>
          </w:tcPr>
          <w:p w14:paraId="452B15AE" w14:textId="77777777" w:rsidR="00CD12F4" w:rsidRDefault="00000000">
            <w:pPr>
              <w:pStyle w:val="Compact"/>
            </w:pPr>
            <w:r>
              <w:t>Bit positions</w:t>
            </w:r>
          </w:p>
        </w:tc>
        <w:tc>
          <w:tcPr>
            <w:tcW w:w="2640" w:type="dxa"/>
          </w:tcPr>
          <w:p w14:paraId="20EB8DC1" w14:textId="77777777" w:rsidR="00CD12F4" w:rsidRDefault="00000000">
            <w:pPr>
              <w:pStyle w:val="Compact"/>
            </w:pPr>
            <w:r>
              <w:t>Project field</w:t>
            </w:r>
          </w:p>
        </w:tc>
        <w:tc>
          <w:tcPr>
            <w:tcW w:w="2640" w:type="dxa"/>
          </w:tcPr>
          <w:p w14:paraId="07A9DAEA" w14:textId="77777777" w:rsidR="00CD12F4" w:rsidRDefault="00000000">
            <w:pPr>
              <w:pStyle w:val="Compact"/>
            </w:pPr>
            <w:r>
              <w:t>Required rule</w:t>
            </w:r>
          </w:p>
        </w:tc>
      </w:tr>
      <w:tr w:rsidR="00CD12F4" w14:paraId="02AC76E7" w14:textId="77777777">
        <w:tc>
          <w:tcPr>
            <w:tcW w:w="2640" w:type="dxa"/>
          </w:tcPr>
          <w:p w14:paraId="2546E90C" w14:textId="77777777" w:rsidR="00CD12F4" w:rsidRDefault="00000000">
            <w:pPr>
              <w:pStyle w:val="Compact"/>
            </w:pPr>
            <w:r>
              <w:t>1</w:t>
            </w:r>
          </w:p>
        </w:tc>
        <w:tc>
          <w:tcPr>
            <w:tcW w:w="2640" w:type="dxa"/>
          </w:tcPr>
          <w:p w14:paraId="2C6724D6" w14:textId="77777777" w:rsidR="00CD12F4" w:rsidRDefault="00000000">
            <w:pPr>
              <w:pStyle w:val="Compact"/>
            </w:pPr>
            <w:r>
              <w:t>Leading parity</w:t>
            </w:r>
          </w:p>
        </w:tc>
        <w:tc>
          <w:tcPr>
            <w:tcW w:w="2640" w:type="dxa"/>
          </w:tcPr>
          <w:p w14:paraId="0BFCF76B" w14:textId="77777777" w:rsidR="00CD12F4" w:rsidRDefault="00000000">
            <w:pPr>
              <w:pStyle w:val="Compact"/>
            </w:pPr>
            <w:r>
              <w:t>Select so bits 1–13 contain an even number of ones</w:t>
            </w:r>
          </w:p>
        </w:tc>
      </w:tr>
      <w:tr w:rsidR="00CD12F4" w14:paraId="7E73F983" w14:textId="77777777">
        <w:tc>
          <w:tcPr>
            <w:tcW w:w="2640" w:type="dxa"/>
          </w:tcPr>
          <w:p w14:paraId="2D5A23C8" w14:textId="77777777" w:rsidR="00CD12F4" w:rsidRDefault="00000000">
            <w:pPr>
              <w:pStyle w:val="Compact"/>
            </w:pPr>
            <w:r>
              <w:t>2–9</w:t>
            </w:r>
          </w:p>
        </w:tc>
        <w:tc>
          <w:tcPr>
            <w:tcW w:w="2640" w:type="dxa"/>
          </w:tcPr>
          <w:p w14:paraId="761B7B68" w14:textId="77777777" w:rsidR="00CD12F4" w:rsidRDefault="00000000">
            <w:pPr>
              <w:pStyle w:val="Compact"/>
            </w:pPr>
            <w:r>
              <w:t>Facility code</w:t>
            </w:r>
          </w:p>
        </w:tc>
        <w:tc>
          <w:tcPr>
            <w:tcW w:w="2640" w:type="dxa"/>
          </w:tcPr>
          <w:p w14:paraId="175A4E21" w14:textId="77777777" w:rsidR="00CD12F4" w:rsidRDefault="00000000">
            <w:pPr>
              <w:pStyle w:val="Compact"/>
            </w:pPr>
            <w:r>
              <w:t>Unsigned 8-bit value, 0–255</w:t>
            </w:r>
          </w:p>
        </w:tc>
      </w:tr>
      <w:tr w:rsidR="00CD12F4" w14:paraId="2D3B9C68" w14:textId="77777777">
        <w:tc>
          <w:tcPr>
            <w:tcW w:w="2640" w:type="dxa"/>
          </w:tcPr>
          <w:p w14:paraId="42381944" w14:textId="77777777" w:rsidR="00CD12F4" w:rsidRDefault="00000000">
            <w:pPr>
              <w:pStyle w:val="Compact"/>
            </w:pPr>
            <w:r>
              <w:t>10–25</w:t>
            </w:r>
          </w:p>
        </w:tc>
        <w:tc>
          <w:tcPr>
            <w:tcW w:w="2640" w:type="dxa"/>
          </w:tcPr>
          <w:p w14:paraId="7D2E1726" w14:textId="77777777" w:rsidR="00CD12F4" w:rsidRDefault="00000000">
            <w:pPr>
              <w:pStyle w:val="Compact"/>
            </w:pPr>
            <w:r>
              <w:t>Credential number</w:t>
            </w:r>
          </w:p>
        </w:tc>
        <w:tc>
          <w:tcPr>
            <w:tcW w:w="2640" w:type="dxa"/>
          </w:tcPr>
          <w:p w14:paraId="6C3AF7A6" w14:textId="77777777" w:rsidR="00CD12F4" w:rsidRDefault="00000000">
            <w:pPr>
              <w:pStyle w:val="Compact"/>
            </w:pPr>
            <w:r>
              <w:t>Unsigned 16-bit value, 0–65535</w:t>
            </w:r>
          </w:p>
        </w:tc>
      </w:tr>
      <w:tr w:rsidR="00CD12F4" w14:paraId="3DA5FA76" w14:textId="77777777">
        <w:tc>
          <w:tcPr>
            <w:tcW w:w="2640" w:type="dxa"/>
          </w:tcPr>
          <w:p w14:paraId="62EC1A6B" w14:textId="77777777" w:rsidR="00CD12F4" w:rsidRDefault="00000000">
            <w:pPr>
              <w:pStyle w:val="Compact"/>
            </w:pPr>
            <w:r>
              <w:t>26</w:t>
            </w:r>
          </w:p>
        </w:tc>
        <w:tc>
          <w:tcPr>
            <w:tcW w:w="2640" w:type="dxa"/>
          </w:tcPr>
          <w:p w14:paraId="16BE7681" w14:textId="77777777" w:rsidR="00CD12F4" w:rsidRDefault="00000000">
            <w:pPr>
              <w:pStyle w:val="Compact"/>
            </w:pPr>
            <w:r>
              <w:t>Trailing parity</w:t>
            </w:r>
          </w:p>
        </w:tc>
        <w:tc>
          <w:tcPr>
            <w:tcW w:w="2640" w:type="dxa"/>
          </w:tcPr>
          <w:p w14:paraId="23D50177" w14:textId="77777777" w:rsidR="00CD12F4" w:rsidRDefault="00000000">
            <w:pPr>
              <w:pStyle w:val="Compact"/>
            </w:pPr>
            <w:r>
              <w:t xml:space="preserve">Select so bits 14–26 contain </w:t>
            </w:r>
            <w:r>
              <w:lastRenderedPageBreak/>
              <w:t>an odd number of ones</w:t>
            </w:r>
          </w:p>
        </w:tc>
      </w:tr>
    </w:tbl>
    <w:p w14:paraId="23865E9B" w14:textId="77777777" w:rsidR="00CD12F4" w:rsidRDefault="00000000">
      <w:pPr>
        <w:pStyle w:val="a0"/>
      </w:pPr>
      <w:r>
        <w:lastRenderedPageBreak/>
        <w:t>Thus leading parity covers data bits 2–13, while trailing parity covers data bits 14–25. A request with the wrong length, nonbinary values, or either parity error is rejected without a new activation. This allocation is a simulator contract, not a compatibility statement about the motivating product.</w:t>
      </w:r>
    </w:p>
    <w:p w14:paraId="74E81CB3" w14:textId="77777777" w:rsidR="00CD12F4" w:rsidRDefault="00000000">
      <w:pPr>
        <w:pStyle w:val="3"/>
      </w:pPr>
      <w:bookmarkStart w:id="22" w:name="X5ef24377bf3e3969e67e90b327c546cf9ca72f4"/>
      <w:bookmarkEnd w:id="21"/>
      <w:r>
        <w:t>Authorization, output, and recovery requirements</w:t>
      </w:r>
    </w:p>
    <w:p w14:paraId="07A1E84E" w14:textId="77777777" w:rsidR="00CD12F4" w:rsidRDefault="00000000">
      <w:pPr>
        <w:pStyle w:val="FirstParagraph"/>
      </w:pPr>
      <w:r>
        <w:t xml:space="preserve">For an idle controller, processing validates source and frame, decodes the credential, performs the composite lookup, checks enabled state, validates the floor, and evaluates bit </w:t>
      </w:r>
      <w:r>
        <w:rPr>
          <w:rStyle w:val="VerbatimChar"/>
        </w:rPr>
        <w:t>floor - 1</w:t>
      </w:r>
      <w:r>
        <w:t>. Unknown, disabled, invalid-floor, and unauthorized-floor outcomes have distinct reasons. A grant activates exactly the output corresponding to the selected floor. At most one output may be active.</w:t>
      </w:r>
    </w:p>
    <w:p w14:paraId="6959B3C0" w14:textId="77777777" w:rsidR="00CD12F4" w:rsidRDefault="00000000">
      <w:pPr>
        <w:pStyle w:val="a0"/>
      </w:pPr>
      <w:r>
        <w:t xml:space="preserve">Busy handling has higher precedence than inspection of the incoming request. While an output is active, every new request is rejected as </w:t>
      </w:r>
      <w:r>
        <w:rPr>
          <w:rStyle w:val="VerbatimChar"/>
        </w:rPr>
        <w:t>controller_busy</w:t>
      </w:r>
      <w:r>
        <w:t xml:space="preserve"> before its source, frame, or floor is inspected. The active output and its existing expiry are neither replaced nor extended.</w:t>
      </w:r>
    </w:p>
    <w:p w14:paraId="3151CE87" w14:textId="77777777" w:rsidR="00CD12F4" w:rsidRDefault="00000000">
      <w:pPr>
        <w:pStyle w:val="a0"/>
      </w:pPr>
      <w:r>
        <w:t>Logical output duration is configurable from 100 to 30,000 ms inclusive, with a 3,000 ms default. Output expiration, timestamps, heartbeat service, and watchdog expiration use simulated monotonic time, so tests do not wait on wall-clock time. The watchdog default is 2,000 ms. Startup and manual or watchdog reset clear all outputs and transient state deterministically; valid configuration, credential records, and prior event history are preserved across the runtime reset contract. These are software-state behaviors and do not establish a physical recovery or safety property.</w:t>
      </w:r>
    </w:p>
    <w:p w14:paraId="2A6CDB99" w14:textId="77777777" w:rsidR="00CD12F4" w:rsidRDefault="00000000">
      <w:pPr>
        <w:pStyle w:val="2"/>
      </w:pPr>
      <w:bookmarkStart w:id="23" w:name="proposed-reference-architecture"/>
      <w:bookmarkEnd w:id="19"/>
      <w:bookmarkEnd w:id="22"/>
      <w:r>
        <w:t>7. Proposed Reference Architecture</w:t>
      </w:r>
    </w:p>
    <w:p w14:paraId="2D314C28" w14:textId="77777777" w:rsidR="00CD12F4" w:rsidRDefault="00000000">
      <w:pPr>
        <w:pStyle w:val="3"/>
      </w:pPr>
      <w:bookmarkStart w:id="24" w:name="responsibility-decomposition"/>
      <w:r>
        <w:t>Responsibility decomposition</w:t>
      </w:r>
    </w:p>
    <w:p w14:paraId="5743709F" w14:textId="77777777" w:rsidR="00CD12F4" w:rsidRDefault="00000000">
      <w:pPr>
        <w:pStyle w:val="FirstParagraph"/>
      </w:pPr>
      <w:r>
        <w:t>The proposed architecture partitions the model by state ownership and operation boundary.</w:t>
      </w:r>
    </w:p>
    <w:tbl>
      <w:tblPr>
        <w:tblStyle w:val="Table"/>
        <w:tblW w:w="5000" w:type="pct"/>
        <w:tblLayout w:type="fixed"/>
        <w:tblLook w:val="0020" w:firstRow="1" w:lastRow="0" w:firstColumn="0" w:lastColumn="0" w:noHBand="0" w:noVBand="0"/>
      </w:tblPr>
      <w:tblGrid>
        <w:gridCol w:w="2394"/>
        <w:gridCol w:w="2394"/>
        <w:gridCol w:w="2394"/>
        <w:gridCol w:w="2394"/>
      </w:tblGrid>
      <w:tr w:rsidR="00CD12F4" w14:paraId="43DD63B5" w14:textId="77777777" w:rsidTr="00CD12F4">
        <w:trPr>
          <w:cnfStyle w:val="100000000000" w:firstRow="1" w:lastRow="0" w:firstColumn="0" w:lastColumn="0" w:oddVBand="0" w:evenVBand="0" w:oddHBand="0" w:evenHBand="0" w:firstRowFirstColumn="0" w:firstRowLastColumn="0" w:lastRowFirstColumn="0" w:lastRowLastColumn="0"/>
          <w:tblHeader/>
        </w:trPr>
        <w:tc>
          <w:tcPr>
            <w:tcW w:w="1980" w:type="dxa"/>
          </w:tcPr>
          <w:p w14:paraId="514478A6" w14:textId="77777777" w:rsidR="00CD12F4" w:rsidRDefault="00000000">
            <w:pPr>
              <w:pStyle w:val="Compact"/>
            </w:pPr>
            <w:r>
              <w:t>Responsibility</w:t>
            </w:r>
          </w:p>
        </w:tc>
        <w:tc>
          <w:tcPr>
            <w:tcW w:w="1980" w:type="dxa"/>
          </w:tcPr>
          <w:p w14:paraId="4AD55FEE" w14:textId="77777777" w:rsidR="00CD12F4" w:rsidRDefault="00000000">
            <w:pPr>
              <w:pStyle w:val="Compact"/>
            </w:pPr>
            <w:r>
              <w:t>Input and output</w:t>
            </w:r>
          </w:p>
        </w:tc>
        <w:tc>
          <w:tcPr>
            <w:tcW w:w="1980" w:type="dxa"/>
          </w:tcPr>
          <w:p w14:paraId="76CE0F50" w14:textId="77777777" w:rsidR="00CD12F4" w:rsidRDefault="00000000">
            <w:pPr>
              <w:pStyle w:val="Compact"/>
            </w:pPr>
            <w:r>
              <w:t>Owned state</w:t>
            </w:r>
          </w:p>
        </w:tc>
        <w:tc>
          <w:tcPr>
            <w:tcW w:w="1980" w:type="dxa"/>
          </w:tcPr>
          <w:p w14:paraId="5A2E78CE" w14:textId="77777777" w:rsidR="00CD12F4" w:rsidRDefault="00000000">
            <w:pPr>
              <w:pStyle w:val="Compact"/>
            </w:pPr>
            <w:r>
              <w:t>Principal boundary</w:t>
            </w:r>
          </w:p>
        </w:tc>
      </w:tr>
      <w:tr w:rsidR="00CD12F4" w14:paraId="5090D337" w14:textId="77777777">
        <w:tc>
          <w:tcPr>
            <w:tcW w:w="1980" w:type="dxa"/>
          </w:tcPr>
          <w:p w14:paraId="1F46EDAC" w14:textId="77777777" w:rsidR="00CD12F4" w:rsidRDefault="00000000">
            <w:pPr>
              <w:pStyle w:val="Compact"/>
            </w:pPr>
            <w:r>
              <w:t>Frame handling</w:t>
            </w:r>
          </w:p>
        </w:tc>
        <w:tc>
          <w:tcPr>
            <w:tcW w:w="1980" w:type="dxa"/>
          </w:tcPr>
          <w:p w14:paraId="7F18ADEE" w14:textId="77777777" w:rsidR="00CD12F4" w:rsidRDefault="00000000">
            <w:pPr>
              <w:pStyle w:val="Compact"/>
            </w:pPr>
            <w:r>
              <w:t>Source and complete frame to decoded credential or validation error</w:t>
            </w:r>
          </w:p>
        </w:tc>
        <w:tc>
          <w:tcPr>
            <w:tcW w:w="1980" w:type="dxa"/>
          </w:tcPr>
          <w:p w14:paraId="70D58A7B" w14:textId="77777777" w:rsidR="00CD12F4" w:rsidRDefault="00000000">
            <w:pPr>
              <w:pStyle w:val="Compact"/>
            </w:pPr>
            <w:r>
              <w:t>None across requests</w:t>
            </w:r>
          </w:p>
        </w:tc>
        <w:tc>
          <w:tcPr>
            <w:tcW w:w="1980" w:type="dxa"/>
          </w:tcPr>
          <w:p w14:paraId="4B2E76CF" w14:textId="77777777" w:rsidR="00CD12F4" w:rsidRDefault="00000000">
            <w:pPr>
              <w:pStyle w:val="Compact"/>
            </w:pPr>
            <w:r>
              <w:t>Project 26-bit profile; no pulse acquisition</w:t>
            </w:r>
          </w:p>
        </w:tc>
      </w:tr>
      <w:tr w:rsidR="00CD12F4" w14:paraId="7B37AB91" w14:textId="77777777">
        <w:tc>
          <w:tcPr>
            <w:tcW w:w="1980" w:type="dxa"/>
          </w:tcPr>
          <w:p w14:paraId="5F03D406" w14:textId="77777777" w:rsidR="00CD12F4" w:rsidRDefault="00000000">
            <w:pPr>
              <w:pStyle w:val="Compact"/>
            </w:pPr>
            <w:r>
              <w:t>Credential repository</w:t>
            </w:r>
          </w:p>
        </w:tc>
        <w:tc>
          <w:tcPr>
            <w:tcW w:w="1980" w:type="dxa"/>
          </w:tcPr>
          <w:p w14:paraId="30E9CB5D" w14:textId="77777777" w:rsidR="00CD12F4" w:rsidRDefault="00000000">
            <w:pPr>
              <w:pStyle w:val="Compact"/>
            </w:pPr>
            <w:r>
              <w:t>Composite key to record or not-found</w:t>
            </w:r>
          </w:p>
        </w:tc>
        <w:tc>
          <w:tcPr>
            <w:tcW w:w="1980" w:type="dxa"/>
          </w:tcPr>
          <w:p w14:paraId="142B78D1" w14:textId="77777777" w:rsidR="00CD12F4" w:rsidRDefault="00000000">
            <w:pPr>
              <w:pStyle w:val="Compact"/>
            </w:pPr>
            <w:r>
              <w:t>Validated in-memory records</w:t>
            </w:r>
          </w:p>
        </w:tc>
        <w:tc>
          <w:tcPr>
            <w:tcW w:w="1980" w:type="dxa"/>
          </w:tcPr>
          <w:p w14:paraId="62C6AF15" w14:textId="77777777" w:rsidR="00CD12F4" w:rsidRDefault="00000000">
            <w:pPr>
              <w:pStyle w:val="Compact"/>
            </w:pPr>
            <w:r>
              <w:t>No persistent-database or product-storage claim</w:t>
            </w:r>
          </w:p>
        </w:tc>
      </w:tr>
      <w:tr w:rsidR="00CD12F4" w14:paraId="060C8BF6" w14:textId="77777777">
        <w:tc>
          <w:tcPr>
            <w:tcW w:w="1980" w:type="dxa"/>
          </w:tcPr>
          <w:p w14:paraId="21BDCBF2" w14:textId="77777777" w:rsidR="00CD12F4" w:rsidRDefault="00000000">
            <w:pPr>
              <w:pStyle w:val="Compact"/>
            </w:pPr>
            <w:r>
              <w:lastRenderedPageBreak/>
              <w:t>Authorization</w:t>
            </w:r>
          </w:p>
        </w:tc>
        <w:tc>
          <w:tcPr>
            <w:tcW w:w="1980" w:type="dxa"/>
          </w:tcPr>
          <w:p w14:paraId="0945B68B" w14:textId="77777777" w:rsidR="00CD12F4" w:rsidRDefault="00000000">
            <w:pPr>
              <w:pStyle w:val="Compact"/>
            </w:pPr>
            <w:r>
              <w:t>Record and floor to typed decision</w:t>
            </w:r>
          </w:p>
        </w:tc>
        <w:tc>
          <w:tcPr>
            <w:tcW w:w="1980" w:type="dxa"/>
          </w:tcPr>
          <w:p w14:paraId="5278ABBE" w14:textId="77777777" w:rsidR="00CD12F4" w:rsidRDefault="00000000">
            <w:pPr>
              <w:pStyle w:val="Compact"/>
            </w:pPr>
            <w:r>
              <w:t>None</w:t>
            </w:r>
          </w:p>
        </w:tc>
        <w:tc>
          <w:tcPr>
            <w:tcW w:w="1980" w:type="dxa"/>
          </w:tcPr>
          <w:p w14:paraId="7A61692B" w14:textId="77777777" w:rsidR="00CD12F4" w:rsidRDefault="00000000">
            <w:pPr>
              <w:pStyle w:val="Compact"/>
            </w:pPr>
            <w:r>
              <w:t>Pure 16-bit mask decision</w:t>
            </w:r>
          </w:p>
        </w:tc>
      </w:tr>
      <w:tr w:rsidR="00CD12F4" w14:paraId="578653A6" w14:textId="77777777">
        <w:tc>
          <w:tcPr>
            <w:tcW w:w="1980" w:type="dxa"/>
          </w:tcPr>
          <w:p w14:paraId="2A62213A" w14:textId="77777777" w:rsidR="00CD12F4" w:rsidRDefault="00000000">
            <w:pPr>
              <w:pStyle w:val="Compact"/>
            </w:pPr>
            <w:r>
              <w:t>Controller orchestration</w:t>
            </w:r>
          </w:p>
        </w:tc>
        <w:tc>
          <w:tcPr>
            <w:tcW w:w="1980" w:type="dxa"/>
          </w:tcPr>
          <w:p w14:paraId="11A18524" w14:textId="77777777" w:rsidR="00CD12F4" w:rsidRDefault="00000000">
            <w:pPr>
              <w:pStyle w:val="Compact"/>
            </w:pPr>
            <w:r>
              <w:t>Request/component outcomes to state and response</w:t>
            </w:r>
          </w:p>
        </w:tc>
        <w:tc>
          <w:tcPr>
            <w:tcW w:w="1980" w:type="dxa"/>
          </w:tcPr>
          <w:p w14:paraId="7C7D6C19" w14:textId="77777777" w:rsidR="00CD12F4" w:rsidRDefault="00000000">
            <w:pPr>
              <w:pStyle w:val="Compact"/>
            </w:pPr>
            <w:r>
              <w:t>Controller state and request transients</w:t>
            </w:r>
          </w:p>
        </w:tc>
        <w:tc>
          <w:tcPr>
            <w:tcW w:w="1980" w:type="dxa"/>
          </w:tcPr>
          <w:p w14:paraId="72A8F9DC" w14:textId="77777777" w:rsidR="00CD12F4" w:rsidRDefault="00000000">
            <w:pPr>
              <w:pStyle w:val="Compact"/>
            </w:pPr>
            <w:r>
              <w:t>Busy precedence and atomic sequencing</w:t>
            </w:r>
          </w:p>
        </w:tc>
      </w:tr>
      <w:tr w:rsidR="00CD12F4" w14:paraId="478276CF" w14:textId="77777777">
        <w:tc>
          <w:tcPr>
            <w:tcW w:w="1980" w:type="dxa"/>
          </w:tcPr>
          <w:p w14:paraId="5743E257" w14:textId="77777777" w:rsidR="00CD12F4" w:rsidRDefault="00000000">
            <w:pPr>
              <w:pStyle w:val="Compact"/>
            </w:pPr>
            <w:r>
              <w:t>Output manager</w:t>
            </w:r>
          </w:p>
        </w:tc>
        <w:tc>
          <w:tcPr>
            <w:tcW w:w="1980" w:type="dxa"/>
          </w:tcPr>
          <w:p w14:paraId="624F180B" w14:textId="77777777" w:rsidR="00CD12F4" w:rsidRDefault="00000000">
            <w:pPr>
              <w:pStyle w:val="Compact"/>
            </w:pPr>
            <w:r>
              <w:t>Committed grant and time to output snapshot</w:t>
            </w:r>
          </w:p>
        </w:tc>
        <w:tc>
          <w:tcPr>
            <w:tcW w:w="1980" w:type="dxa"/>
          </w:tcPr>
          <w:p w14:paraId="0F5A422E" w14:textId="77777777" w:rsidR="00CD12F4" w:rsidRDefault="00000000">
            <w:pPr>
              <w:pStyle w:val="Compact"/>
            </w:pPr>
            <w:r>
              <w:t>16 channels, active floor, expiry</w:t>
            </w:r>
          </w:p>
        </w:tc>
        <w:tc>
          <w:tcPr>
            <w:tcW w:w="1980" w:type="dxa"/>
          </w:tcPr>
          <w:p w14:paraId="14A98C92" w14:textId="77777777" w:rsidR="00CD12F4" w:rsidRDefault="00000000">
            <w:pPr>
              <w:pStyle w:val="Compact"/>
            </w:pPr>
            <w:r>
              <w:t>Abstract Boolean permission state only</w:t>
            </w:r>
          </w:p>
        </w:tc>
      </w:tr>
      <w:tr w:rsidR="00CD12F4" w14:paraId="094E4D1D" w14:textId="77777777">
        <w:tc>
          <w:tcPr>
            <w:tcW w:w="1980" w:type="dxa"/>
          </w:tcPr>
          <w:p w14:paraId="7314BEC2" w14:textId="77777777" w:rsidR="00CD12F4" w:rsidRDefault="00000000">
            <w:pPr>
              <w:pStyle w:val="Compact"/>
            </w:pPr>
            <w:r>
              <w:t>Event log</w:t>
            </w:r>
          </w:p>
        </w:tc>
        <w:tc>
          <w:tcPr>
            <w:tcW w:w="1980" w:type="dxa"/>
          </w:tcPr>
          <w:p w14:paraId="7DE71754" w14:textId="77777777" w:rsidR="00CD12F4" w:rsidRDefault="00000000">
            <w:pPr>
              <w:pStyle w:val="Compact"/>
            </w:pPr>
            <w:r>
              <w:t>Canonical event draft to immutable record</w:t>
            </w:r>
          </w:p>
        </w:tc>
        <w:tc>
          <w:tcPr>
            <w:tcW w:w="1980" w:type="dxa"/>
          </w:tcPr>
          <w:p w14:paraId="2576DF4A" w14:textId="77777777" w:rsidR="00CD12F4" w:rsidRDefault="00000000">
            <w:pPr>
              <w:pStyle w:val="Compact"/>
            </w:pPr>
            <w:r>
              <w:t>Records and sequence allocation</w:t>
            </w:r>
          </w:p>
        </w:tc>
        <w:tc>
          <w:tcPr>
            <w:tcW w:w="1980" w:type="dxa"/>
          </w:tcPr>
          <w:p w14:paraId="5C60D167" w14:textId="77777777" w:rsidR="00CD12F4" w:rsidRDefault="00000000">
            <w:pPr>
              <w:pStyle w:val="Compact"/>
            </w:pPr>
            <w:r>
              <w:t>In-memory structured log</w:t>
            </w:r>
          </w:p>
        </w:tc>
      </w:tr>
      <w:tr w:rsidR="00CD12F4" w14:paraId="4F4E5E92" w14:textId="77777777">
        <w:tc>
          <w:tcPr>
            <w:tcW w:w="1980" w:type="dxa"/>
          </w:tcPr>
          <w:p w14:paraId="1BF10C35" w14:textId="77777777" w:rsidR="00CD12F4" w:rsidRDefault="00000000">
            <w:pPr>
              <w:pStyle w:val="Compact"/>
            </w:pPr>
            <w:r>
              <w:t>Simulated clock</w:t>
            </w:r>
          </w:p>
        </w:tc>
        <w:tc>
          <w:tcPr>
            <w:tcW w:w="1980" w:type="dxa"/>
          </w:tcPr>
          <w:p w14:paraId="096E095A" w14:textId="77777777" w:rsidR="00CD12F4" w:rsidRDefault="00000000">
            <w:pPr>
              <w:pStyle w:val="Compact"/>
            </w:pPr>
            <w:r>
              <w:t>Controlled advancement to monotonic milliseconds</w:t>
            </w:r>
          </w:p>
        </w:tc>
        <w:tc>
          <w:tcPr>
            <w:tcW w:w="1980" w:type="dxa"/>
          </w:tcPr>
          <w:p w14:paraId="5D6968BB" w14:textId="77777777" w:rsidR="00CD12F4" w:rsidRDefault="00000000">
            <w:pPr>
              <w:pStyle w:val="Compact"/>
            </w:pPr>
            <w:r>
              <w:t>Logical current time</w:t>
            </w:r>
          </w:p>
        </w:tc>
        <w:tc>
          <w:tcPr>
            <w:tcW w:w="1980" w:type="dxa"/>
          </w:tcPr>
          <w:p w14:paraId="2FE3C020" w14:textId="77777777" w:rsidR="00CD12F4" w:rsidRDefault="00000000">
            <w:pPr>
              <w:pStyle w:val="Compact"/>
            </w:pPr>
            <w:r>
              <w:t>No wall-clock or real-time contract</w:t>
            </w:r>
          </w:p>
        </w:tc>
      </w:tr>
      <w:tr w:rsidR="00CD12F4" w14:paraId="04953CC9" w14:textId="77777777">
        <w:tc>
          <w:tcPr>
            <w:tcW w:w="1980" w:type="dxa"/>
          </w:tcPr>
          <w:p w14:paraId="0C8EE3CE" w14:textId="77777777" w:rsidR="00CD12F4" w:rsidRDefault="00000000">
            <w:pPr>
              <w:pStyle w:val="Compact"/>
            </w:pPr>
            <w:r>
              <w:t>Watchdog/reset</w:t>
            </w:r>
          </w:p>
        </w:tc>
        <w:tc>
          <w:tcPr>
            <w:tcW w:w="1980" w:type="dxa"/>
          </w:tcPr>
          <w:p w14:paraId="60C6045D" w14:textId="77777777" w:rsidR="00CD12F4" w:rsidRDefault="00000000">
            <w:pPr>
              <w:pStyle w:val="Compact"/>
            </w:pPr>
            <w:r>
              <w:t>Heartbeats and suppression to reset request</w:t>
            </w:r>
          </w:p>
        </w:tc>
        <w:tc>
          <w:tcPr>
            <w:tcW w:w="1980" w:type="dxa"/>
          </w:tcPr>
          <w:p w14:paraId="27A25C46" w14:textId="77777777" w:rsidR="00CD12F4" w:rsidRDefault="00000000">
            <w:pPr>
              <w:pStyle w:val="Compact"/>
            </w:pPr>
            <w:r>
              <w:t>Deadline and fault-suppression state</w:t>
            </w:r>
          </w:p>
        </w:tc>
        <w:tc>
          <w:tcPr>
            <w:tcW w:w="1980" w:type="dxa"/>
          </w:tcPr>
          <w:p w14:paraId="1ABA9FE8" w14:textId="77777777" w:rsidR="00CD12F4" w:rsidRDefault="00000000">
            <w:pPr>
              <w:pStyle w:val="Compact"/>
            </w:pPr>
            <w:r>
              <w:t>Simulated recovery only</w:t>
            </w:r>
          </w:p>
        </w:tc>
      </w:tr>
      <w:tr w:rsidR="00CD12F4" w14:paraId="074EE115" w14:textId="77777777">
        <w:tc>
          <w:tcPr>
            <w:tcW w:w="1980" w:type="dxa"/>
          </w:tcPr>
          <w:p w14:paraId="6C4992A7" w14:textId="77777777" w:rsidR="00CD12F4" w:rsidRDefault="00000000">
            <w:pPr>
              <w:pStyle w:val="Compact"/>
            </w:pPr>
            <w:r>
              <w:t>Configuration</w:t>
            </w:r>
          </w:p>
        </w:tc>
        <w:tc>
          <w:tcPr>
            <w:tcW w:w="1980" w:type="dxa"/>
          </w:tcPr>
          <w:p w14:paraId="5D8C143E" w14:textId="77777777" w:rsidR="00CD12F4" w:rsidRDefault="00000000">
            <w:pPr>
              <w:pStyle w:val="Compact"/>
            </w:pPr>
            <w:r>
              <w:t>JSON-like data to validated immutable configuration</w:t>
            </w:r>
          </w:p>
        </w:tc>
        <w:tc>
          <w:tcPr>
            <w:tcW w:w="1980" w:type="dxa"/>
          </w:tcPr>
          <w:p w14:paraId="61F166DD" w14:textId="77777777" w:rsidR="00CD12F4" w:rsidRDefault="00000000">
            <w:pPr>
              <w:pStyle w:val="Compact"/>
            </w:pPr>
            <w:r>
              <w:t>Active configuration after initialization</w:t>
            </w:r>
          </w:p>
        </w:tc>
        <w:tc>
          <w:tcPr>
            <w:tcW w:w="1980" w:type="dxa"/>
          </w:tcPr>
          <w:p w14:paraId="05040C0C" w14:textId="77777777" w:rsidR="00CD12F4" w:rsidRDefault="00000000">
            <w:pPr>
              <w:pStyle w:val="Compact"/>
            </w:pPr>
            <w:r>
              <w:t>Invalid startup remains non-operational</w:t>
            </w:r>
          </w:p>
        </w:tc>
      </w:tr>
      <w:tr w:rsidR="00CD12F4" w14:paraId="067F5778" w14:textId="77777777">
        <w:tc>
          <w:tcPr>
            <w:tcW w:w="1980" w:type="dxa"/>
          </w:tcPr>
          <w:p w14:paraId="781DA95C" w14:textId="77777777" w:rsidR="00CD12F4" w:rsidRDefault="00000000">
            <w:pPr>
              <w:pStyle w:val="Compact"/>
            </w:pPr>
            <w:r>
              <w:t>CLI/test harness</w:t>
            </w:r>
          </w:p>
        </w:tc>
        <w:tc>
          <w:tcPr>
            <w:tcW w:w="1980" w:type="dxa"/>
          </w:tcPr>
          <w:p w14:paraId="24F71A3F" w14:textId="77777777" w:rsidR="00CD12F4" w:rsidRDefault="00000000">
            <w:pPr>
              <w:pStyle w:val="Compact"/>
            </w:pPr>
            <w:r>
              <w:t>Controlled human or test inputs to public API calls</w:t>
            </w:r>
          </w:p>
        </w:tc>
        <w:tc>
          <w:tcPr>
            <w:tcW w:w="1980" w:type="dxa"/>
          </w:tcPr>
          <w:p w14:paraId="36B6A50D" w14:textId="77777777" w:rsidR="00CD12F4" w:rsidRDefault="00000000">
            <w:pPr>
              <w:pStyle w:val="Compact"/>
            </w:pPr>
            <w:r>
              <w:t>Adapter/scenario state only</w:t>
            </w:r>
          </w:p>
        </w:tc>
        <w:tc>
          <w:tcPr>
            <w:tcW w:w="1980" w:type="dxa"/>
          </w:tcPr>
          <w:p w14:paraId="17E6A61D" w14:textId="77777777" w:rsidR="00CD12F4" w:rsidRDefault="00000000">
            <w:pPr>
              <w:pStyle w:val="Compact"/>
            </w:pPr>
            <w:r>
              <w:t>Offline demonstration and observation</w:t>
            </w:r>
          </w:p>
        </w:tc>
      </w:tr>
    </w:tbl>
    <w:p w14:paraId="5E4B3B28" w14:textId="77777777" w:rsidR="00CD12F4" w:rsidRDefault="00000000">
      <w:pPr>
        <w:pStyle w:val="a0"/>
      </w:pPr>
      <w:r>
        <w:t>The controller coordinator owns transition order but not component data. The repository alone owns records, the output manager alone owns channel state and expiry, the event log alone owns sequences, and the watchdog alone owns its deadline. A grant is activated only after its access-decision event is appended successfully. Denial or invalid input creates no new activation. Timeout and reset clear output state even if event logging subsequently fails.</w:t>
      </w:r>
    </w:p>
    <w:p w14:paraId="07295FF3" w14:textId="77777777" w:rsidR="00CD12F4" w:rsidRDefault="00000000">
      <w:pPr>
        <w:pStyle w:val="a0"/>
      </w:pPr>
      <w:r>
        <w:t>Figure planned from docs/figures/top_level_architecture.mmd; rendering deferred to the controlled document-production stage.</w:t>
      </w:r>
    </w:p>
    <w:p w14:paraId="5952AEC3" w14:textId="77777777" w:rsidR="00CD12F4" w:rsidRDefault="00000000">
      <w:pPr>
        <w:pStyle w:val="a0"/>
      </w:pPr>
      <w:r>
        <w:t>Figure planned from docs/figures/firmware_architecture.mmd; rendering deferred to the controlled document-production stage.</w:t>
      </w:r>
    </w:p>
    <w:p w14:paraId="5407659A" w14:textId="77777777" w:rsidR="00CD12F4" w:rsidRDefault="00000000">
      <w:pPr>
        <w:pStyle w:val="a0"/>
      </w:pPr>
      <w:r>
        <w:t>Figure planned from docs/figures/data_flow.mmd; rendering deferred to the controlled document-production stage.</w:t>
      </w:r>
    </w:p>
    <w:p w14:paraId="3AD19AF7" w14:textId="77777777" w:rsidR="00CD12F4" w:rsidRDefault="00000000">
      <w:pPr>
        <w:pStyle w:val="3"/>
      </w:pPr>
      <w:bookmarkStart w:id="25" w:name="state-timing-and-reset-behavior"/>
      <w:bookmarkEnd w:id="24"/>
      <w:r>
        <w:lastRenderedPageBreak/>
        <w:t>State, timing, and reset behavior</w:t>
      </w:r>
    </w:p>
    <w:p w14:paraId="1632BD4A" w14:textId="77777777" w:rsidR="00CD12F4" w:rsidRDefault="00000000">
      <w:pPr>
        <w:pStyle w:val="FirstParagraph"/>
      </w:pPr>
      <w:r>
        <w:t xml:space="preserve">The conceptual state machine contains </w:t>
      </w:r>
      <w:r>
        <w:rPr>
          <w:rStyle w:val="VerbatimChar"/>
        </w:rPr>
        <w:t>RESETTING</w:t>
      </w:r>
      <w:r>
        <w:t xml:space="preserve">, </w:t>
      </w:r>
      <w:r>
        <w:rPr>
          <w:rStyle w:val="VerbatimChar"/>
        </w:rPr>
        <w:t>INITIALIZING</w:t>
      </w:r>
      <w:r>
        <w:t xml:space="preserve">, </w:t>
      </w:r>
      <w:r>
        <w:rPr>
          <w:rStyle w:val="VerbatimChar"/>
        </w:rPr>
        <w:t>IDLE</w:t>
      </w:r>
      <w:r>
        <w:t xml:space="preserve">, </w:t>
      </w:r>
      <w:r>
        <w:rPr>
          <w:rStyle w:val="VerbatimChar"/>
        </w:rPr>
        <w:t>VALIDATING</w:t>
      </w:r>
      <w:r>
        <w:t xml:space="preserve">, </w:t>
      </w:r>
      <w:r>
        <w:rPr>
          <w:rStyle w:val="VerbatimChar"/>
        </w:rPr>
        <w:t>LOOKUP</w:t>
      </w:r>
      <w:r>
        <w:t xml:space="preserve">, </w:t>
      </w:r>
      <w:r>
        <w:rPr>
          <w:rStyle w:val="VerbatimChar"/>
        </w:rPr>
        <w:t>AUTHORIZING</w:t>
      </w:r>
      <w:r>
        <w:t xml:space="preserve">, and </w:t>
      </w:r>
      <w:r>
        <w:rPr>
          <w:rStyle w:val="VerbatimChar"/>
        </w:rPr>
        <w:t>OUTPUT_ACTIVE</w:t>
      </w:r>
      <w:r>
        <w:t>. A normal request moves from idle through validation, lookup, and authorization; a grant enters output-active state, while a completed denial returns to idle. A busy request stays output-active. Timeout returns the controller to idle, and manual or watchdog reset may interrupt any state.</w:t>
      </w:r>
    </w:p>
    <w:p w14:paraId="33948544" w14:textId="77777777" w:rsidR="00CD12F4" w:rsidRDefault="00000000">
      <w:pPr>
        <w:pStyle w:val="a0"/>
      </w:pPr>
      <w:r>
        <w:t>Figure planned from docs/figures/controller_state_machine.mmd; rendering deferred to the controlled document-production stage.</w:t>
      </w:r>
    </w:p>
    <w:p w14:paraId="63C9632F" w14:textId="77777777" w:rsidR="00CD12F4" w:rsidRDefault="00000000">
      <w:pPr>
        <w:pStyle w:val="a0"/>
      </w:pPr>
      <w:r>
        <w:t>The scheduler advances directly between heartbeat, watchdog-deadline, and output-expiry timestamps. At a shared timestamp it handles normal heartbeat service first, watchdog expiry second, and output expiry third. With normal service, a 3,000 ms output can remain active while the 2,000 ms watchdog is refreshed. Under injected service suppression, the watchdog can reset the model at its deadline. The clock never rewinds.</w:t>
      </w:r>
    </w:p>
    <w:p w14:paraId="3FEEE7FA" w14:textId="77777777" w:rsidR="00CD12F4" w:rsidRDefault="00000000">
      <w:pPr>
        <w:pStyle w:val="a0"/>
      </w:pPr>
      <w:r>
        <w:t>Figure planned from docs/figures/watchdog_sequence.mmd; rendering deferred to the controlled document-production stage.</w:t>
      </w:r>
    </w:p>
    <w:p w14:paraId="4B463CDC" w14:textId="77777777" w:rsidR="00CD12F4" w:rsidRDefault="00000000">
      <w:pPr>
        <w:pStyle w:val="a0"/>
      </w:pPr>
      <w:r>
        <w:t>Startup reset clears output, transient, watchdog, log, and initialization state before candidate configuration and records are validated. Manual and watchdog resets clear output, expiry, request transients, and suppression state while preserving validated configuration, credentials, prior events, and sequence progression.</w:t>
      </w:r>
    </w:p>
    <w:p w14:paraId="609991FF" w14:textId="77777777" w:rsidR="00CD12F4" w:rsidRDefault="00000000">
      <w:pPr>
        <w:pStyle w:val="a0"/>
      </w:pPr>
      <w:r>
        <w:t>Figure planned from docs/figures/reset_sequence.mmd; rendering deferred to the controlled document-production stage.</w:t>
      </w:r>
    </w:p>
    <w:p w14:paraId="7E82C7D0" w14:textId="77777777" w:rsidR="00CD12F4" w:rsidRDefault="00000000">
      <w:pPr>
        <w:pStyle w:val="3"/>
      </w:pPr>
      <w:bookmarkStart w:id="26" w:name="logical-register-view"/>
      <w:bookmarkEnd w:id="25"/>
      <w:r>
        <w:t>Logical register view</w:t>
      </w:r>
    </w:p>
    <w:p w14:paraId="7A387124" w14:textId="77777777" w:rsidR="00CD12F4" w:rsidRDefault="00000000">
      <w:pPr>
        <w:pStyle w:val="FirstParagraph"/>
      </w:pPr>
      <w:r>
        <w:t>The documented registers are abstract observation and control state for the software model. They describe capability, control commands, state flags, timing configuration, request fields, decoded fields, floor mask, output state, expiry, watchdog service time, and latest event values. They have project-defined logical offsets only. They are not MCU registers and imply no physical address, memory capacity, bus, peripheral, voltage, connector, or commercial architecture.</w:t>
      </w:r>
    </w:p>
    <w:p w14:paraId="62597893" w14:textId="77777777" w:rsidR="00CD12F4" w:rsidRDefault="00000000">
      <w:pPr>
        <w:pStyle w:val="2"/>
      </w:pPr>
      <w:bookmarkStart w:id="27" w:name="software-model-design-and-implementation"/>
      <w:bookmarkEnd w:id="23"/>
      <w:bookmarkEnd w:id="26"/>
      <w:r>
        <w:t>8. Software-Model Design and Implementation</w:t>
      </w:r>
    </w:p>
    <w:p w14:paraId="1D737B0B" w14:textId="77777777" w:rsidR="00CD12F4" w:rsidRDefault="00000000">
      <w:pPr>
        <w:pStyle w:val="3"/>
      </w:pPr>
      <w:bookmarkStart w:id="28" w:name="python-host-software-structure"/>
      <w:r>
        <w:t>Python host-software structure</w:t>
      </w:r>
    </w:p>
    <w:p w14:paraId="72440E17" w14:textId="77777777" w:rsidR="00CD12F4" w:rsidRDefault="00000000">
      <w:pPr>
        <w:pStyle w:val="FirstParagraph"/>
      </w:pPr>
      <w:r>
        <w:t xml:space="preserve">The implementation is Python host software in </w:t>
      </w:r>
      <w:r>
        <w:rPr>
          <w:rStyle w:val="VerbatimChar"/>
        </w:rPr>
        <w:t>src/elevator_access_sim</w:t>
      </w:r>
      <w:r>
        <w:t>; it is not commercial firmware and does not execute on an MCU. Modules separate shared immutable models, strict configuration loading, simulated time, Wiegand processing, credentials, authorization, outputs, watchdog, event logging, controller coordination, and a thin command-line adapter.</w:t>
      </w:r>
    </w:p>
    <w:p w14:paraId="37DD71EE" w14:textId="77777777" w:rsidR="00CD12F4" w:rsidRDefault="00000000">
      <w:pPr>
        <w:pStyle w:val="a0"/>
      </w:pPr>
      <w:r>
        <w:lastRenderedPageBreak/>
        <w:t>Immutable dataclasses and enumerations carry requests, decoded credentials, records, decisions, events, snapshots, and responses. Mutable manager classes expose immutable snapshots and own only their assigned state. Expected access outcomes are typed results rather than exception-driven branches. Exceptions are reserved for invalid startup data, injected infrastructure failure, clock misuse, and internal invariant violations.</w:t>
      </w:r>
    </w:p>
    <w:p w14:paraId="45688EC1" w14:textId="77777777" w:rsidR="00CD12F4" w:rsidRDefault="00000000">
      <w:pPr>
        <w:pStyle w:val="3"/>
      </w:pPr>
      <w:bookmarkStart w:id="29" w:name="input-repository-and-decision-path"/>
      <w:bookmarkEnd w:id="28"/>
      <w:r>
        <w:t>Input, repository, and decision path</w:t>
      </w:r>
    </w:p>
    <w:p w14:paraId="57394D0A" w14:textId="77777777" w:rsidR="00CD12F4" w:rsidRDefault="00000000">
      <w:pPr>
        <w:pStyle w:val="FirstParagraph"/>
      </w:pPr>
      <w:r>
        <w:t>The Wiegand module validates the raw container, exact 26-member length, binary membership, and both parity regions before decoding the two data fields. Its encoder exists for controlled fixtures and demonstration. The credential repository validates ranges and types, preserves deterministic input order, indexes by the ordered composite key, and rejects duplicates without partial publication.</w:t>
      </w:r>
    </w:p>
    <w:p w14:paraId="4C4D6B0C" w14:textId="77777777" w:rsidR="00CD12F4" w:rsidRDefault="00000000">
      <w:pPr>
        <w:pStyle w:val="a0"/>
      </w:pPr>
      <w:r>
        <w:t>Authorization is a pure operation. It applies the required precedence to unknown and disabled records, validates a true integer floor in the range 1–16, and inspects the corresponding permission bit. It returns a typed result and reason but does not mutate outputs or logs.</w:t>
      </w:r>
    </w:p>
    <w:p w14:paraId="51109336" w14:textId="77777777" w:rsidR="00CD12F4" w:rsidRDefault="00000000">
      <w:pPr>
        <w:pStyle w:val="3"/>
      </w:pPr>
      <w:bookmarkStart w:id="30" w:name="controller-outputs-and-events"/>
      <w:bookmarkEnd w:id="29"/>
      <w:r>
        <w:t>Controller, outputs, and events</w:t>
      </w:r>
    </w:p>
    <w:p w14:paraId="03EC4F05" w14:textId="77777777" w:rsidR="00CD12F4" w:rsidRDefault="00000000">
      <w:pPr>
        <w:pStyle w:val="FirstParagraph"/>
      </w:pPr>
      <w:r>
        <w:t>The controller composes managers and enforces request precedence. If output is already active, it performs busy handling before reading the new request. Otherwise it follows source validation, frame validation, decoding, repository lookup, enabled-state check, floor validation, and floor-mask evaluation. A successful grant-event append is the gate for atomic activation. The output manager updates its 16-channel tuple, active floor, and expiry together; expiration or reset clears all three together.</w:t>
      </w:r>
    </w:p>
    <w:p w14:paraId="1BA02279" w14:textId="77777777" w:rsidR="00CD12F4" w:rsidRDefault="00000000">
      <w:pPr>
        <w:pStyle w:val="a0"/>
      </w:pPr>
      <w:r>
        <w:t>The event log stores immutable nine-field records: sequence number, simulated timestamp, event type, source, facility code, credential number, requested floor, result, and reason. Conditional values are explicit nulls when serialized to deterministic JSON Lines. Sequence numbers are consumed only by successful appends. Logged categories cover access decisions, validation errors, output timeout, manual reset, watchdog reset, and an exposed logging-fault condition.</w:t>
      </w:r>
    </w:p>
    <w:p w14:paraId="69574383" w14:textId="77777777" w:rsidR="00CD12F4" w:rsidRDefault="00000000">
      <w:pPr>
        <w:pStyle w:val="3"/>
      </w:pPr>
      <w:bookmarkStart w:id="31" w:name="time-reset-configuration-and-cli"/>
      <w:bookmarkEnd w:id="30"/>
      <w:r>
        <w:t>Time, reset, configuration, and CLI</w:t>
      </w:r>
    </w:p>
    <w:p w14:paraId="53C5E456" w14:textId="77777777" w:rsidR="00CD12F4" w:rsidRDefault="00000000">
      <w:pPr>
        <w:pStyle w:val="FirstParagraph"/>
      </w:pPr>
      <w:r>
        <w:t xml:space="preserve">The injected clock supplies nonnegative monotonic integer milliseconds and rejects backward advancement. The controller’s event-driven scheduler jumps to due times without looping once per millisecond. The watchdog schedules a heartbeat at </w:t>
      </w:r>
      <w:r>
        <w:rPr>
          <w:rStyle w:val="VerbatimChar"/>
        </w:rPr>
        <w:t>max(1, timeout_ms // 2)</w:t>
      </w:r>
      <w:r>
        <w:t>, moves its deadline when serviced, and leaves that deadline unchanged when service is deliberately suppressed. Expiration emits at most one reset request per armed epoch.</w:t>
      </w:r>
    </w:p>
    <w:p w14:paraId="69D598B9" w14:textId="77777777" w:rsidR="00CD12F4" w:rsidRDefault="00000000">
      <w:pPr>
        <w:pStyle w:val="a0"/>
      </w:pPr>
      <w:r>
        <w:t xml:space="preserve">Configuration and credential documents are strict UTF-8 JSON. Unknown or missing fields, wrong types, invalid ranges, duplicate members, malformed input, and duplicate credential keys are rejected atomically. Explicit invalid values are never replaced by </w:t>
      </w:r>
      <w:r>
        <w:lastRenderedPageBreak/>
        <w:t>defaults. Failed initialization leaves the controller in an all-inactive, non-operational state until corrected.</w:t>
      </w:r>
    </w:p>
    <w:p w14:paraId="4250D71C" w14:textId="77777777" w:rsidR="00CD12F4" w:rsidRDefault="00000000">
      <w:pPr>
        <w:pStyle w:val="a0"/>
      </w:pPr>
      <w:r>
        <w:t>The CLI loads controlled configuration and credential files, invokes the same public controller API used by tests, advances simulated time, and presents snapshots and events. It contains no authorization policy of its own and performs no device, network, database-server, or elevator interaction.</w:t>
      </w:r>
    </w:p>
    <w:p w14:paraId="32592836" w14:textId="77777777" w:rsidR="00CD12F4" w:rsidRDefault="00000000">
      <w:pPr>
        <w:pStyle w:val="2"/>
      </w:pPr>
      <w:bookmarkStart w:id="32" w:name="verification-and-experimental-method"/>
      <w:bookmarkEnd w:id="27"/>
      <w:bookmarkEnd w:id="31"/>
      <w:r>
        <w:t>9. Verification and Experimental Method</w:t>
      </w:r>
    </w:p>
    <w:p w14:paraId="21686DB2" w14:textId="77777777" w:rsidR="00CD12F4" w:rsidRDefault="00000000">
      <w:pPr>
        <w:pStyle w:val="3"/>
      </w:pPr>
      <w:bookmarkStart w:id="33" w:name="historical-verification-evidence"/>
      <w:r>
        <w:t>Historical verification evidence</w:t>
      </w:r>
    </w:p>
    <w:p w14:paraId="3E45037B" w14:textId="77777777" w:rsidR="00CD12F4" w:rsidRDefault="00000000">
      <w:pPr>
        <w:pStyle w:val="FirstParagraph"/>
      </w:pPr>
      <w:r>
        <w:t>The accepted SP-06 implementation-verification snapshot is historical evidence: 976 tests were collected and all 976 passed, with zero failures, skips, or xfails. It must not be confused with the later repository-wide pytest total, which increased as analysis, reporting-gate, and inspection tests were added. The historical snapshot is the implementation-milestone result used in this report.</w:t>
      </w:r>
    </w:p>
    <w:p w14:paraId="78A359E6" w14:textId="77777777" w:rsidR="00CD12F4" w:rsidRDefault="00000000">
      <w:pPr>
        <w:pStyle w:val="a0"/>
      </w:pPr>
      <w:r>
        <w:t>The traceability inventory contains 66 requirement rows: 60 required rows with verified status and six optional rows deferred. Verification combined unit, integration, end-to-end, fault-injection, experiment, and inspection levels. Controlled cases covered valid and malformed frames, both source labels, credential lookup and record validation, all 16 floor bits, denials, busy precedence, output timing, reset, watchdog, event-log behavior, configuration atomicity, deterministic replay, and offline environment boundaries.</w:t>
      </w:r>
    </w:p>
    <w:p w14:paraId="2DBCD30D" w14:textId="77777777" w:rsidR="00CD12F4" w:rsidRDefault="00000000">
      <w:pPr>
        <w:pStyle w:val="3"/>
      </w:pPr>
      <w:bookmarkStart w:id="34" w:name="quantitative-experiment-design"/>
      <w:bookmarkEnd w:id="33"/>
      <w:r>
        <w:t>Quantitative experiment design</w:t>
      </w:r>
    </w:p>
    <w:p w14:paraId="3FF9755C" w14:textId="77777777" w:rsidR="00CD12F4" w:rsidRDefault="00000000">
      <w:pPr>
        <w:pStyle w:val="FirstParagraph"/>
      </w:pPr>
      <w:r>
        <w:t xml:space="preserve">Two accepted configurations were used. The mixed experiment timed the public </w:t>
      </w:r>
      <w:r>
        <w:rPr>
          <w:rStyle w:val="VerbatimChar"/>
        </w:rPr>
        <w:t>Controller.submit</w:t>
      </w:r>
      <w:r>
        <w:t xml:space="preserve"> boundary. For credential repositories of 10, 100, 1,000, and 10,000 records, it used one unmeasured warm-up and exactly three measured repetitions. The first three sizes processed 1,000 requests per repetition; the 10,000-record group processed 10,000 per repetition. This produced 12 measured aggregate rows and 39,000 total mixed requests.</w:t>
      </w:r>
    </w:p>
    <w:p w14:paraId="601829E1" w14:textId="77777777" w:rsidR="00CD12F4" w:rsidRDefault="00000000">
      <w:pPr>
        <w:pStyle w:val="a0"/>
      </w:pPr>
      <w:r>
        <w:t xml:space="preserve">The isolated configuration measured two distinct public operations at the same four repository sizes. Direct </w:t>
      </w:r>
      <w:r>
        <w:rPr>
          <w:rStyle w:val="VerbatimChar"/>
        </w:rPr>
        <w:t>CredentialRepository.lookup</w:t>
      </w:r>
      <w:r>
        <w:t xml:space="preserve"> included trusted key validation, the in-memory dictionary lookup, and wrapper-result construction, while excluding repository construction. Direct authorization included trusted input validation, precedence and floor-mask logic, and decision construction, while excluding credential lookup. Each operation-size group used exactly three measured repetitions of 1,000 calls. The resulting 24 aggregate rows represent 24,000 isolated operations: 12,000 lookups and 12,000 authorization calls.</w:t>
      </w:r>
    </w:p>
    <w:p w14:paraId="1A0B8651" w14:textId="77777777" w:rsidR="00CD12F4" w:rsidRDefault="00000000">
      <w:pPr>
        <w:pStyle w:val="a0"/>
      </w:pPr>
      <w:r>
        <w:t xml:space="preserve">All host measurements used </w:t>
      </w:r>
      <w:r>
        <w:rPr>
          <w:rStyle w:val="VerbatimChar"/>
        </w:rPr>
        <w:t>time.perf_counter_ns</w:t>
      </w:r>
      <w:r>
        <w:t xml:space="preserve"> on one recorded host. Each timing row contains three repetition-level observations. The reported minimum, central value, and maximum are calculated across those three repetition aggregates. They are not pooled across individual calls, and raw per-call timing samples were not retained. Mixed </w:t>
      </w:r>
      <w:r>
        <w:lastRenderedPageBreak/>
        <w:t>controller, lookup, and authorization operation boundaries differ, so the three families must not be ranked against one another.</w:t>
      </w:r>
    </w:p>
    <w:p w14:paraId="472C8247" w14:textId="77777777" w:rsidR="00CD12F4" w:rsidRDefault="00000000">
      <w:pPr>
        <w:pStyle w:val="3"/>
      </w:pPr>
      <w:bookmarkStart w:id="35" w:name="independent-review"/>
      <w:bookmarkEnd w:id="34"/>
      <w:r>
        <w:t>Independent review</w:t>
      </w:r>
    </w:p>
    <w:p w14:paraId="118EC81F" w14:textId="77777777" w:rsidR="00CD12F4" w:rsidRDefault="00000000">
      <w:pPr>
        <w:pStyle w:val="FirstParagraph"/>
      </w:pPr>
      <w:r>
        <w:t>The independent review re-read accepted files, reconciled 39 quantitative claim rows, checked hashes and schemas, summed correctness outcomes, recomputed repetition-level summaries, and verified that each SVG reproduces its source points, median line, and min/max whiskers. It recorded 14 nonblocking anomalies or validity threats, including timing variability, small repetition count, one-host scope, absent raw samples, unequal mixed request counts, and different operation boundaries. No new benchmark or measurement was introduced during review.</w:t>
      </w:r>
    </w:p>
    <w:p w14:paraId="2D9FF713" w14:textId="77777777" w:rsidR="00CD12F4" w:rsidRDefault="00000000">
      <w:pPr>
        <w:pStyle w:val="2"/>
      </w:pPr>
      <w:bookmarkStart w:id="36" w:name="results"/>
      <w:bookmarkEnd w:id="32"/>
      <w:bookmarkEnd w:id="35"/>
      <w:r>
        <w:t>10. Results</w:t>
      </w:r>
    </w:p>
    <w:p w14:paraId="6CD65503" w14:textId="77777777" w:rsidR="00CD12F4" w:rsidRDefault="00000000">
      <w:pPr>
        <w:pStyle w:val="3"/>
      </w:pPr>
      <w:bookmarkStart w:id="37" w:name="evidence-coverage"/>
      <w:r>
        <w:t>Evidence coverage</w:t>
      </w:r>
    </w:p>
    <w:p w14:paraId="75884E5F" w14:textId="77777777" w:rsidR="00CD12F4" w:rsidRDefault="00000000">
      <w:pPr>
        <w:pStyle w:val="FirstParagraph"/>
      </w:pPr>
      <w:r>
        <w:t>The accepted experiment-coverage table classifies seven evidence areas.</w:t>
      </w:r>
    </w:p>
    <w:tbl>
      <w:tblPr>
        <w:tblStyle w:val="Table"/>
        <w:tblW w:w="5000" w:type="pct"/>
        <w:tblLayout w:type="fixed"/>
        <w:tblLook w:val="0020" w:firstRow="1" w:lastRow="0" w:firstColumn="0" w:lastColumn="0" w:noHBand="0" w:noVBand="0"/>
      </w:tblPr>
      <w:tblGrid>
        <w:gridCol w:w="3192"/>
        <w:gridCol w:w="3192"/>
        <w:gridCol w:w="3192"/>
      </w:tblGrid>
      <w:tr w:rsidR="00CD12F4" w14:paraId="080F40AC" w14:textId="77777777" w:rsidTr="00CD12F4">
        <w:trPr>
          <w:cnfStyle w:val="100000000000" w:firstRow="1" w:lastRow="0" w:firstColumn="0" w:lastColumn="0" w:oddVBand="0" w:evenVBand="0" w:oddHBand="0" w:evenHBand="0" w:firstRowFirstColumn="0" w:firstRowLastColumn="0" w:lastRowFirstColumn="0" w:lastRowLastColumn="0"/>
          <w:tblHeader/>
        </w:trPr>
        <w:tc>
          <w:tcPr>
            <w:tcW w:w="2640" w:type="dxa"/>
          </w:tcPr>
          <w:p w14:paraId="09337D23" w14:textId="77777777" w:rsidR="00CD12F4" w:rsidRDefault="00000000">
            <w:pPr>
              <w:pStyle w:val="Compact"/>
            </w:pPr>
            <w:r>
              <w:t>Experiment</w:t>
            </w:r>
          </w:p>
        </w:tc>
        <w:tc>
          <w:tcPr>
            <w:tcW w:w="2640" w:type="dxa"/>
          </w:tcPr>
          <w:p w14:paraId="17546D7A" w14:textId="77777777" w:rsidR="00CD12F4" w:rsidRDefault="00000000">
            <w:pPr>
              <w:pStyle w:val="Compact"/>
            </w:pPr>
            <w:r>
              <w:t>Accepted status</w:t>
            </w:r>
          </w:p>
        </w:tc>
        <w:tc>
          <w:tcPr>
            <w:tcW w:w="2640" w:type="dxa"/>
          </w:tcPr>
          <w:p w14:paraId="1CF898EB" w14:textId="77777777" w:rsidR="00CD12F4" w:rsidRDefault="00000000">
            <w:pPr>
              <w:pStyle w:val="Compact"/>
            </w:pPr>
            <w:r>
              <w:t>Scope boundary</w:t>
            </w:r>
          </w:p>
        </w:tc>
      </w:tr>
      <w:tr w:rsidR="00CD12F4" w14:paraId="3963E5B8" w14:textId="77777777">
        <w:tc>
          <w:tcPr>
            <w:tcW w:w="2640" w:type="dxa"/>
          </w:tcPr>
          <w:p w14:paraId="4C30BD08" w14:textId="77777777" w:rsidR="00CD12F4" w:rsidRDefault="00000000">
            <w:pPr>
              <w:pStyle w:val="Compact"/>
            </w:pPr>
            <w:r>
              <w:t>Protocol validation</w:t>
            </w:r>
          </w:p>
        </w:tc>
        <w:tc>
          <w:tcPr>
            <w:tcW w:w="2640" w:type="dxa"/>
          </w:tcPr>
          <w:p w14:paraId="04D0BEBE" w14:textId="77777777" w:rsidR="00CD12F4" w:rsidRDefault="00000000">
            <w:pPr>
              <w:pStyle w:val="Compact"/>
            </w:pPr>
            <w:r>
              <w:t>Complete existing</w:t>
            </w:r>
          </w:p>
        </w:tc>
        <w:tc>
          <w:tcPr>
            <w:tcW w:w="2640" w:type="dxa"/>
          </w:tcPr>
          <w:p w14:paraId="5732228A" w14:textId="77777777" w:rsidR="00CD12F4" w:rsidRDefault="00000000">
            <w:pPr>
              <w:pStyle w:val="Compact"/>
            </w:pPr>
            <w:r>
              <w:t>Project 26-bit software profile; no reader or product compatibility</w:t>
            </w:r>
          </w:p>
        </w:tc>
      </w:tr>
      <w:tr w:rsidR="00CD12F4" w14:paraId="09D50A70" w14:textId="77777777">
        <w:tc>
          <w:tcPr>
            <w:tcW w:w="2640" w:type="dxa"/>
          </w:tcPr>
          <w:p w14:paraId="487098AA" w14:textId="77777777" w:rsidR="00CD12F4" w:rsidRDefault="00000000">
            <w:pPr>
              <w:pStyle w:val="Compact"/>
            </w:pPr>
            <w:r>
              <w:t>Authorization correctness</w:t>
            </w:r>
          </w:p>
        </w:tc>
        <w:tc>
          <w:tcPr>
            <w:tcW w:w="2640" w:type="dxa"/>
          </w:tcPr>
          <w:p w14:paraId="229D7CEA" w14:textId="77777777" w:rsidR="00CD12F4" w:rsidRDefault="00000000">
            <w:pPr>
              <w:pStyle w:val="Compact"/>
            </w:pPr>
            <w:r>
              <w:t>Complete existing</w:t>
            </w:r>
          </w:p>
        </w:tc>
        <w:tc>
          <w:tcPr>
            <w:tcW w:w="2640" w:type="dxa"/>
          </w:tcPr>
          <w:p w14:paraId="0ECDD79B" w14:textId="77777777" w:rsidR="00CD12F4" w:rsidRDefault="00000000">
            <w:pPr>
              <w:pStyle w:val="Compact"/>
            </w:pPr>
            <w:r>
              <w:t>Deterministic in-memory repository and floors 1–16</w:t>
            </w:r>
          </w:p>
        </w:tc>
      </w:tr>
      <w:tr w:rsidR="00CD12F4" w14:paraId="453BDBEA" w14:textId="77777777">
        <w:tc>
          <w:tcPr>
            <w:tcW w:w="2640" w:type="dxa"/>
          </w:tcPr>
          <w:p w14:paraId="4CFE15D9" w14:textId="77777777" w:rsidR="00CD12F4" w:rsidRDefault="00000000">
            <w:pPr>
              <w:pStyle w:val="Compact"/>
            </w:pPr>
            <w:r>
              <w:t>Output timing</w:t>
            </w:r>
          </w:p>
        </w:tc>
        <w:tc>
          <w:tcPr>
            <w:tcW w:w="2640" w:type="dxa"/>
          </w:tcPr>
          <w:p w14:paraId="4A98F149" w14:textId="77777777" w:rsidR="00CD12F4" w:rsidRDefault="00000000">
            <w:pPr>
              <w:pStyle w:val="Compact"/>
            </w:pPr>
            <w:r>
              <w:t>Complete existing with limit</w:t>
            </w:r>
          </w:p>
        </w:tc>
        <w:tc>
          <w:tcPr>
            <w:tcW w:w="2640" w:type="dxa"/>
          </w:tcPr>
          <w:p w14:paraId="686D53FC" w14:textId="77777777" w:rsidR="00CD12F4" w:rsidRDefault="00000000">
            <w:pPr>
              <w:pStyle w:val="Compact"/>
            </w:pPr>
            <w:r>
              <w:t>Simulated milliseconds; no electrical or elevator timing</w:t>
            </w:r>
          </w:p>
        </w:tc>
      </w:tr>
      <w:tr w:rsidR="00CD12F4" w14:paraId="594BA263" w14:textId="77777777">
        <w:tc>
          <w:tcPr>
            <w:tcW w:w="2640" w:type="dxa"/>
          </w:tcPr>
          <w:p w14:paraId="24707308" w14:textId="77777777" w:rsidR="00CD12F4" w:rsidRDefault="00000000">
            <w:pPr>
              <w:pStyle w:val="Compact"/>
            </w:pPr>
            <w:r>
              <w:t>Watchdog and fault recovery</w:t>
            </w:r>
          </w:p>
        </w:tc>
        <w:tc>
          <w:tcPr>
            <w:tcW w:w="2640" w:type="dxa"/>
          </w:tcPr>
          <w:p w14:paraId="08F9B747" w14:textId="77777777" w:rsidR="00CD12F4" w:rsidRDefault="00000000">
            <w:pPr>
              <w:pStyle w:val="Compact"/>
            </w:pPr>
            <w:r>
              <w:t>Complete existing with limit</w:t>
            </w:r>
          </w:p>
        </w:tc>
        <w:tc>
          <w:tcPr>
            <w:tcW w:w="2640" w:type="dxa"/>
          </w:tcPr>
          <w:p w14:paraId="6EF8C933" w14:textId="77777777" w:rsidR="00CD12F4" w:rsidRDefault="00000000">
            <w:pPr>
              <w:pStyle w:val="Compact"/>
            </w:pPr>
            <w:r>
              <w:t>Injected software state; no hardware reliability or safety result</w:t>
            </w:r>
          </w:p>
        </w:tc>
      </w:tr>
      <w:tr w:rsidR="00CD12F4" w14:paraId="0EFDFB69" w14:textId="77777777">
        <w:tc>
          <w:tcPr>
            <w:tcW w:w="2640" w:type="dxa"/>
          </w:tcPr>
          <w:p w14:paraId="45A1895B" w14:textId="77777777" w:rsidR="00CD12F4" w:rsidRDefault="00000000">
            <w:pPr>
              <w:pStyle w:val="Compact"/>
            </w:pPr>
            <w:r>
              <w:t>Database scalability</w:t>
            </w:r>
          </w:p>
        </w:tc>
        <w:tc>
          <w:tcPr>
            <w:tcW w:w="2640" w:type="dxa"/>
          </w:tcPr>
          <w:p w14:paraId="611F3648" w14:textId="77777777" w:rsidR="00CD12F4" w:rsidRDefault="00000000">
            <w:pPr>
              <w:pStyle w:val="Compact"/>
            </w:pPr>
            <w:r>
              <w:t>Complete existing with limit</w:t>
            </w:r>
          </w:p>
        </w:tc>
        <w:tc>
          <w:tcPr>
            <w:tcW w:w="2640" w:type="dxa"/>
          </w:tcPr>
          <w:p w14:paraId="05725A47" w14:textId="77777777" w:rsidR="00CD12F4" w:rsidRDefault="00000000">
            <w:pPr>
              <w:pStyle w:val="Compact"/>
            </w:pPr>
            <w:r>
              <w:t>Mixed and isolated host-software boundaries; no persistent database server</w:t>
            </w:r>
          </w:p>
        </w:tc>
      </w:tr>
      <w:tr w:rsidR="00CD12F4" w14:paraId="0C58FFC5" w14:textId="77777777">
        <w:tc>
          <w:tcPr>
            <w:tcW w:w="2640" w:type="dxa"/>
          </w:tcPr>
          <w:p w14:paraId="40A2A5AA" w14:textId="77777777" w:rsidR="00CD12F4" w:rsidRDefault="00000000">
            <w:pPr>
              <w:pStyle w:val="Compact"/>
            </w:pPr>
            <w:r>
              <w:t>End-to-end scenarios</w:t>
            </w:r>
          </w:p>
        </w:tc>
        <w:tc>
          <w:tcPr>
            <w:tcW w:w="2640" w:type="dxa"/>
          </w:tcPr>
          <w:p w14:paraId="3ABA3F47" w14:textId="77777777" w:rsidR="00CD12F4" w:rsidRDefault="00000000">
            <w:pPr>
              <w:pStyle w:val="Compact"/>
            </w:pPr>
            <w:r>
              <w:t>Complete existing</w:t>
            </w:r>
          </w:p>
        </w:tc>
        <w:tc>
          <w:tcPr>
            <w:tcW w:w="2640" w:type="dxa"/>
          </w:tcPr>
          <w:p w14:paraId="161A5C70" w14:textId="77777777" w:rsidR="00CD12F4" w:rsidRDefault="00000000">
            <w:pPr>
              <w:pStyle w:val="Compact"/>
            </w:pPr>
            <w:r>
              <w:t>Deterministic software flows; no physical journey or operational trial</w:t>
            </w:r>
          </w:p>
        </w:tc>
      </w:tr>
      <w:tr w:rsidR="00CD12F4" w14:paraId="2C7BC039" w14:textId="77777777">
        <w:tc>
          <w:tcPr>
            <w:tcW w:w="2640" w:type="dxa"/>
          </w:tcPr>
          <w:p w14:paraId="4D58DC31" w14:textId="77777777" w:rsidR="00CD12F4" w:rsidRDefault="00000000">
            <w:pPr>
              <w:pStyle w:val="Compact"/>
            </w:pPr>
            <w:r>
              <w:t>Robustness and malformed configuration</w:t>
            </w:r>
          </w:p>
        </w:tc>
        <w:tc>
          <w:tcPr>
            <w:tcW w:w="2640" w:type="dxa"/>
          </w:tcPr>
          <w:p w14:paraId="65042368" w14:textId="77777777" w:rsidR="00CD12F4" w:rsidRDefault="00000000">
            <w:pPr>
              <w:pStyle w:val="Compact"/>
            </w:pPr>
            <w:r>
              <w:t>Complete existing</w:t>
            </w:r>
          </w:p>
        </w:tc>
        <w:tc>
          <w:tcPr>
            <w:tcW w:w="2640" w:type="dxa"/>
          </w:tcPr>
          <w:p w14:paraId="6ACF444A" w14:textId="77777777" w:rsidR="00CD12F4" w:rsidRDefault="00000000">
            <w:pPr>
              <w:pStyle w:val="Compact"/>
            </w:pPr>
            <w:r>
              <w:t>Specified input and fault boundaries; no field-reliability conclusion</w:t>
            </w:r>
          </w:p>
        </w:tc>
      </w:tr>
    </w:tbl>
    <w:p w14:paraId="228A0F91" w14:textId="77777777" w:rsidR="00CD12F4" w:rsidRDefault="00000000">
      <w:pPr>
        <w:pStyle w:val="3"/>
      </w:pPr>
      <w:bookmarkStart w:id="38" w:name="correctness-reconciliation"/>
      <w:bookmarkEnd w:id="37"/>
      <w:r>
        <w:t>Correctness reconciliation</w:t>
      </w:r>
    </w:p>
    <w:p w14:paraId="258404BF" w14:textId="77777777" w:rsidR="00CD12F4" w:rsidRDefault="00000000">
      <w:pPr>
        <w:pStyle w:val="FirstParagraph"/>
      </w:pPr>
      <w:r>
        <w:t>The constructed mixed workload reconciled exactly across the 12 accepted aggregate rows.</w:t>
      </w:r>
    </w:p>
    <w:tbl>
      <w:tblPr>
        <w:tblStyle w:val="Table"/>
        <w:tblW w:w="0" w:type="auto"/>
        <w:tblLook w:val="0020" w:firstRow="1" w:lastRow="0" w:firstColumn="0" w:lastColumn="0" w:noHBand="0" w:noVBand="0"/>
      </w:tblPr>
      <w:tblGrid>
        <w:gridCol w:w="3619"/>
        <w:gridCol w:w="3138"/>
        <w:gridCol w:w="1165"/>
      </w:tblGrid>
      <w:tr w:rsidR="00CD12F4" w14:paraId="7D656CCF" w14:textId="77777777" w:rsidTr="00CD12F4">
        <w:trPr>
          <w:cnfStyle w:val="100000000000" w:firstRow="1" w:lastRow="0" w:firstColumn="0" w:lastColumn="0" w:oddVBand="0" w:evenVBand="0" w:oddHBand="0" w:evenHBand="0" w:firstRowFirstColumn="0" w:firstRowLastColumn="0" w:lastRowFirstColumn="0" w:lastRowLastColumn="0"/>
          <w:tblHeader/>
        </w:trPr>
        <w:tc>
          <w:tcPr>
            <w:tcW w:w="0" w:type="auto"/>
          </w:tcPr>
          <w:p w14:paraId="54B6C969" w14:textId="77777777" w:rsidR="00CD12F4" w:rsidRDefault="00000000">
            <w:pPr>
              <w:pStyle w:val="Compact"/>
            </w:pPr>
            <w:r>
              <w:lastRenderedPageBreak/>
              <w:t>Measurement group</w:t>
            </w:r>
          </w:p>
        </w:tc>
        <w:tc>
          <w:tcPr>
            <w:tcW w:w="0" w:type="auto"/>
          </w:tcPr>
          <w:p w14:paraId="03599990" w14:textId="77777777" w:rsidR="00CD12F4" w:rsidRDefault="00000000">
            <w:pPr>
              <w:pStyle w:val="Compact"/>
            </w:pPr>
            <w:r>
              <w:t>Outcome</w:t>
            </w:r>
          </w:p>
        </w:tc>
        <w:tc>
          <w:tcPr>
            <w:tcW w:w="0" w:type="auto"/>
          </w:tcPr>
          <w:p w14:paraId="1F64E9AE" w14:textId="77777777" w:rsidR="00CD12F4" w:rsidRDefault="00000000">
            <w:pPr>
              <w:pStyle w:val="Compact"/>
              <w:jc w:val="right"/>
            </w:pPr>
            <w:r>
              <w:t>Count</w:t>
            </w:r>
          </w:p>
        </w:tc>
      </w:tr>
      <w:tr w:rsidR="00CD12F4" w14:paraId="6E2811CF" w14:textId="77777777">
        <w:tc>
          <w:tcPr>
            <w:tcW w:w="0" w:type="auto"/>
          </w:tcPr>
          <w:p w14:paraId="370C2EAC" w14:textId="77777777" w:rsidR="00CD12F4" w:rsidRDefault="00000000">
            <w:pPr>
              <w:pStyle w:val="Compact"/>
            </w:pPr>
            <w:r>
              <w:t>Historical automated verification</w:t>
            </w:r>
          </w:p>
        </w:tc>
        <w:tc>
          <w:tcPr>
            <w:tcW w:w="0" w:type="auto"/>
          </w:tcPr>
          <w:p w14:paraId="69673E7E" w14:textId="77777777" w:rsidR="00CD12F4" w:rsidRDefault="00000000">
            <w:pPr>
              <w:pStyle w:val="Compact"/>
            </w:pPr>
            <w:r>
              <w:t>Collected / passed</w:t>
            </w:r>
          </w:p>
        </w:tc>
        <w:tc>
          <w:tcPr>
            <w:tcW w:w="0" w:type="auto"/>
          </w:tcPr>
          <w:p w14:paraId="38D568F3" w14:textId="77777777" w:rsidR="00CD12F4" w:rsidRDefault="00000000">
            <w:pPr>
              <w:pStyle w:val="Compact"/>
              <w:jc w:val="right"/>
            </w:pPr>
            <w:r>
              <w:t>976 / 976</w:t>
            </w:r>
          </w:p>
        </w:tc>
      </w:tr>
      <w:tr w:rsidR="00CD12F4" w14:paraId="62F30903" w14:textId="77777777">
        <w:tc>
          <w:tcPr>
            <w:tcW w:w="0" w:type="auto"/>
          </w:tcPr>
          <w:p w14:paraId="124022BF" w14:textId="77777777" w:rsidR="00CD12F4" w:rsidRDefault="00000000">
            <w:pPr>
              <w:pStyle w:val="Compact"/>
            </w:pPr>
            <w:r>
              <w:t>Mixed controller</w:t>
            </w:r>
          </w:p>
        </w:tc>
        <w:tc>
          <w:tcPr>
            <w:tcW w:w="0" w:type="auto"/>
          </w:tcPr>
          <w:p w14:paraId="4181A645" w14:textId="77777777" w:rsidR="00CD12F4" w:rsidRDefault="00000000">
            <w:pPr>
              <w:pStyle w:val="Compact"/>
            </w:pPr>
            <w:r>
              <w:t>Processed</w:t>
            </w:r>
          </w:p>
        </w:tc>
        <w:tc>
          <w:tcPr>
            <w:tcW w:w="0" w:type="auto"/>
          </w:tcPr>
          <w:p w14:paraId="25D47757" w14:textId="77777777" w:rsidR="00CD12F4" w:rsidRDefault="00000000">
            <w:pPr>
              <w:pStyle w:val="Compact"/>
              <w:jc w:val="right"/>
            </w:pPr>
            <w:r>
              <w:t>39,000</w:t>
            </w:r>
          </w:p>
        </w:tc>
      </w:tr>
      <w:tr w:rsidR="00CD12F4" w14:paraId="099F6C3D" w14:textId="77777777">
        <w:tc>
          <w:tcPr>
            <w:tcW w:w="0" w:type="auto"/>
          </w:tcPr>
          <w:p w14:paraId="20ADB213" w14:textId="77777777" w:rsidR="00CD12F4" w:rsidRDefault="00000000">
            <w:pPr>
              <w:pStyle w:val="Compact"/>
            </w:pPr>
            <w:r>
              <w:t>Mixed controller</w:t>
            </w:r>
          </w:p>
        </w:tc>
        <w:tc>
          <w:tcPr>
            <w:tcW w:w="0" w:type="auto"/>
          </w:tcPr>
          <w:p w14:paraId="429551A7" w14:textId="77777777" w:rsidR="00CD12F4" w:rsidRDefault="00000000">
            <w:pPr>
              <w:pStyle w:val="Compact"/>
            </w:pPr>
            <w:r>
              <w:t>Granted</w:t>
            </w:r>
          </w:p>
        </w:tc>
        <w:tc>
          <w:tcPr>
            <w:tcW w:w="0" w:type="auto"/>
          </w:tcPr>
          <w:p w14:paraId="756A49D5" w14:textId="77777777" w:rsidR="00CD12F4" w:rsidRDefault="00000000">
            <w:pPr>
              <w:pStyle w:val="Compact"/>
              <w:jc w:val="right"/>
            </w:pPr>
            <w:r>
              <w:t>15,600</w:t>
            </w:r>
          </w:p>
        </w:tc>
      </w:tr>
      <w:tr w:rsidR="00CD12F4" w14:paraId="79C6B024" w14:textId="77777777">
        <w:tc>
          <w:tcPr>
            <w:tcW w:w="0" w:type="auto"/>
          </w:tcPr>
          <w:p w14:paraId="44081D60" w14:textId="77777777" w:rsidR="00CD12F4" w:rsidRDefault="00000000">
            <w:pPr>
              <w:pStyle w:val="Compact"/>
            </w:pPr>
            <w:r>
              <w:t>Mixed controller</w:t>
            </w:r>
          </w:p>
        </w:tc>
        <w:tc>
          <w:tcPr>
            <w:tcW w:w="0" w:type="auto"/>
          </w:tcPr>
          <w:p w14:paraId="065BD514" w14:textId="77777777" w:rsidR="00CD12F4" w:rsidRDefault="00000000">
            <w:pPr>
              <w:pStyle w:val="Compact"/>
            </w:pPr>
            <w:r>
              <w:t>Denied</w:t>
            </w:r>
          </w:p>
        </w:tc>
        <w:tc>
          <w:tcPr>
            <w:tcW w:w="0" w:type="auto"/>
          </w:tcPr>
          <w:p w14:paraId="0C0A14A5" w14:textId="77777777" w:rsidR="00CD12F4" w:rsidRDefault="00000000">
            <w:pPr>
              <w:pStyle w:val="Compact"/>
              <w:jc w:val="right"/>
            </w:pPr>
            <w:r>
              <w:t>19,500</w:t>
            </w:r>
          </w:p>
        </w:tc>
      </w:tr>
      <w:tr w:rsidR="00CD12F4" w14:paraId="656550AB" w14:textId="77777777">
        <w:tc>
          <w:tcPr>
            <w:tcW w:w="0" w:type="auto"/>
          </w:tcPr>
          <w:p w14:paraId="566049BE" w14:textId="77777777" w:rsidR="00CD12F4" w:rsidRDefault="00000000">
            <w:pPr>
              <w:pStyle w:val="Compact"/>
            </w:pPr>
            <w:r>
              <w:t>Mixed controller</w:t>
            </w:r>
          </w:p>
        </w:tc>
        <w:tc>
          <w:tcPr>
            <w:tcW w:w="0" w:type="auto"/>
          </w:tcPr>
          <w:p w14:paraId="46F9D0D2" w14:textId="77777777" w:rsidR="00CD12F4" w:rsidRDefault="00000000">
            <w:pPr>
              <w:pStyle w:val="Compact"/>
            </w:pPr>
            <w:r>
              <w:t>Unauthorized-floor denials</w:t>
            </w:r>
          </w:p>
        </w:tc>
        <w:tc>
          <w:tcPr>
            <w:tcW w:w="0" w:type="auto"/>
          </w:tcPr>
          <w:p w14:paraId="78CCD71C" w14:textId="77777777" w:rsidR="00CD12F4" w:rsidRDefault="00000000">
            <w:pPr>
              <w:pStyle w:val="Compact"/>
              <w:jc w:val="right"/>
            </w:pPr>
            <w:r>
              <w:t>7,800</w:t>
            </w:r>
          </w:p>
        </w:tc>
      </w:tr>
      <w:tr w:rsidR="00CD12F4" w14:paraId="2D212E41" w14:textId="77777777">
        <w:tc>
          <w:tcPr>
            <w:tcW w:w="0" w:type="auto"/>
          </w:tcPr>
          <w:p w14:paraId="7AD4A7EE" w14:textId="77777777" w:rsidR="00CD12F4" w:rsidRDefault="00000000">
            <w:pPr>
              <w:pStyle w:val="Compact"/>
            </w:pPr>
            <w:r>
              <w:t>Mixed controller</w:t>
            </w:r>
          </w:p>
        </w:tc>
        <w:tc>
          <w:tcPr>
            <w:tcW w:w="0" w:type="auto"/>
          </w:tcPr>
          <w:p w14:paraId="4B3B404F" w14:textId="77777777" w:rsidR="00CD12F4" w:rsidRDefault="00000000">
            <w:pPr>
              <w:pStyle w:val="Compact"/>
            </w:pPr>
            <w:r>
              <w:t>Disabled-credential denials</w:t>
            </w:r>
          </w:p>
        </w:tc>
        <w:tc>
          <w:tcPr>
            <w:tcW w:w="0" w:type="auto"/>
          </w:tcPr>
          <w:p w14:paraId="3B1EF170" w14:textId="77777777" w:rsidR="00CD12F4" w:rsidRDefault="00000000">
            <w:pPr>
              <w:pStyle w:val="Compact"/>
              <w:jc w:val="right"/>
            </w:pPr>
            <w:r>
              <w:t>5,850</w:t>
            </w:r>
          </w:p>
        </w:tc>
      </w:tr>
      <w:tr w:rsidR="00CD12F4" w14:paraId="3E3D1FA4" w14:textId="77777777">
        <w:tc>
          <w:tcPr>
            <w:tcW w:w="0" w:type="auto"/>
          </w:tcPr>
          <w:p w14:paraId="6CF841E9" w14:textId="77777777" w:rsidR="00CD12F4" w:rsidRDefault="00000000">
            <w:pPr>
              <w:pStyle w:val="Compact"/>
            </w:pPr>
            <w:r>
              <w:t>Mixed controller</w:t>
            </w:r>
          </w:p>
        </w:tc>
        <w:tc>
          <w:tcPr>
            <w:tcW w:w="0" w:type="auto"/>
          </w:tcPr>
          <w:p w14:paraId="0B0580BB" w14:textId="77777777" w:rsidR="00CD12F4" w:rsidRDefault="00000000">
            <w:pPr>
              <w:pStyle w:val="Compact"/>
            </w:pPr>
            <w:r>
              <w:t>Unknown-credential denials</w:t>
            </w:r>
          </w:p>
        </w:tc>
        <w:tc>
          <w:tcPr>
            <w:tcW w:w="0" w:type="auto"/>
          </w:tcPr>
          <w:p w14:paraId="6D284DCA" w14:textId="77777777" w:rsidR="00CD12F4" w:rsidRDefault="00000000">
            <w:pPr>
              <w:pStyle w:val="Compact"/>
              <w:jc w:val="right"/>
            </w:pPr>
            <w:r>
              <w:t>5,850</w:t>
            </w:r>
          </w:p>
        </w:tc>
      </w:tr>
      <w:tr w:rsidR="00CD12F4" w14:paraId="175FEE2C" w14:textId="77777777">
        <w:tc>
          <w:tcPr>
            <w:tcW w:w="0" w:type="auto"/>
          </w:tcPr>
          <w:p w14:paraId="49F3A7BA" w14:textId="77777777" w:rsidR="00CD12F4" w:rsidRDefault="00000000">
            <w:pPr>
              <w:pStyle w:val="Compact"/>
            </w:pPr>
            <w:r>
              <w:t>Mixed controller</w:t>
            </w:r>
          </w:p>
        </w:tc>
        <w:tc>
          <w:tcPr>
            <w:tcW w:w="0" w:type="auto"/>
          </w:tcPr>
          <w:p w14:paraId="2376598C" w14:textId="77777777" w:rsidR="00CD12F4" w:rsidRDefault="00000000">
            <w:pPr>
              <w:pStyle w:val="Compact"/>
            </w:pPr>
            <w:r>
              <w:t>Invalid-frame failures</w:t>
            </w:r>
          </w:p>
        </w:tc>
        <w:tc>
          <w:tcPr>
            <w:tcW w:w="0" w:type="auto"/>
          </w:tcPr>
          <w:p w14:paraId="0E561492" w14:textId="77777777" w:rsidR="00CD12F4" w:rsidRDefault="00000000">
            <w:pPr>
              <w:pStyle w:val="Compact"/>
              <w:jc w:val="right"/>
            </w:pPr>
            <w:r>
              <w:t>3,900</w:t>
            </w:r>
          </w:p>
        </w:tc>
      </w:tr>
      <w:tr w:rsidR="00CD12F4" w14:paraId="73C4501A" w14:textId="77777777">
        <w:tc>
          <w:tcPr>
            <w:tcW w:w="0" w:type="auto"/>
          </w:tcPr>
          <w:p w14:paraId="5640CC40" w14:textId="77777777" w:rsidR="00CD12F4" w:rsidRDefault="00000000">
            <w:pPr>
              <w:pStyle w:val="Compact"/>
            </w:pPr>
            <w:r>
              <w:t>Mixed controller</w:t>
            </w:r>
          </w:p>
        </w:tc>
        <w:tc>
          <w:tcPr>
            <w:tcW w:w="0" w:type="auto"/>
          </w:tcPr>
          <w:p w14:paraId="0EE88AEB" w14:textId="77777777" w:rsidR="00CD12F4" w:rsidRDefault="00000000">
            <w:pPr>
              <w:pStyle w:val="Compact"/>
            </w:pPr>
            <w:r>
              <w:t>Other outcomes</w:t>
            </w:r>
          </w:p>
        </w:tc>
        <w:tc>
          <w:tcPr>
            <w:tcW w:w="0" w:type="auto"/>
          </w:tcPr>
          <w:p w14:paraId="0A2620C8" w14:textId="77777777" w:rsidR="00CD12F4" w:rsidRDefault="00000000">
            <w:pPr>
              <w:pStyle w:val="Compact"/>
              <w:jc w:val="right"/>
            </w:pPr>
            <w:r>
              <w:t>0</w:t>
            </w:r>
          </w:p>
        </w:tc>
      </w:tr>
    </w:tbl>
    <w:p w14:paraId="4D41DF2B" w14:textId="77777777" w:rsidR="00CD12F4" w:rsidRDefault="00000000">
      <w:pPr>
        <w:pStyle w:val="a0"/>
      </w:pPr>
      <w:r>
        <w:t xml:space="preserve">The totals satisfy </w:t>
      </w:r>
      <w:r>
        <w:rPr>
          <w:rStyle w:val="VerbatimChar"/>
        </w:rPr>
        <w:t>39,000 = 15,600 + 19,500 + 3,900 + 0</w:t>
      </w:r>
      <w:r>
        <w:t xml:space="preserve">, and denial reasons satisfy </w:t>
      </w:r>
      <w:r>
        <w:rPr>
          <w:rStyle w:val="VerbatimChar"/>
        </w:rPr>
        <w:t>19,500 = 7,800 + 5,850 + 5,850</w:t>
      </w:r>
      <w:r>
        <w:t>. This is exact reconciliation of a frozen constructed workload. Zero other outcomes is not a field false-positive or false-negative rate.</w:t>
      </w:r>
    </w:p>
    <w:p w14:paraId="731B59D9" w14:textId="77777777" w:rsidR="00CD12F4" w:rsidRDefault="00000000">
      <w:pPr>
        <w:pStyle w:val="a0"/>
      </w:pPr>
      <w:r>
        <w:t>The isolated workload also reconciled exactly.</w:t>
      </w:r>
    </w:p>
    <w:tbl>
      <w:tblPr>
        <w:tblStyle w:val="Table"/>
        <w:tblW w:w="5000" w:type="pct"/>
        <w:tblLayout w:type="fixed"/>
        <w:tblLook w:val="0020" w:firstRow="1" w:lastRow="0" w:firstColumn="0" w:lastColumn="0" w:noHBand="0" w:noVBand="0"/>
      </w:tblPr>
      <w:tblGrid>
        <w:gridCol w:w="2052"/>
        <w:gridCol w:w="2736"/>
        <w:gridCol w:w="2052"/>
        <w:gridCol w:w="2736"/>
      </w:tblGrid>
      <w:tr w:rsidR="00CD12F4" w14:paraId="370D0453" w14:textId="77777777" w:rsidTr="00CD12F4">
        <w:trPr>
          <w:cnfStyle w:val="100000000000" w:firstRow="1" w:lastRow="0" w:firstColumn="0" w:lastColumn="0" w:oddVBand="0" w:evenVBand="0" w:oddHBand="0" w:evenHBand="0" w:firstRowFirstColumn="0" w:firstRowLastColumn="0" w:lastRowFirstColumn="0" w:lastRowLastColumn="0"/>
          <w:tblHeader/>
        </w:trPr>
        <w:tc>
          <w:tcPr>
            <w:tcW w:w="1697" w:type="dxa"/>
          </w:tcPr>
          <w:p w14:paraId="7B52C2E1" w14:textId="77777777" w:rsidR="00CD12F4" w:rsidRDefault="00000000">
            <w:pPr>
              <w:pStyle w:val="Compact"/>
            </w:pPr>
            <w:r>
              <w:t>Operation</w:t>
            </w:r>
          </w:p>
        </w:tc>
        <w:tc>
          <w:tcPr>
            <w:tcW w:w="2262" w:type="dxa"/>
          </w:tcPr>
          <w:p w14:paraId="310B250E" w14:textId="77777777" w:rsidR="00CD12F4" w:rsidRDefault="00000000">
            <w:pPr>
              <w:pStyle w:val="Compact"/>
              <w:jc w:val="right"/>
            </w:pPr>
            <w:r>
              <w:t>Processed</w:t>
            </w:r>
          </w:p>
        </w:tc>
        <w:tc>
          <w:tcPr>
            <w:tcW w:w="1697" w:type="dxa"/>
          </w:tcPr>
          <w:p w14:paraId="1399528B" w14:textId="77777777" w:rsidR="00CD12F4" w:rsidRDefault="00000000">
            <w:pPr>
              <w:pStyle w:val="Compact"/>
            </w:pPr>
            <w:r>
              <w:t>Expected correct classifications</w:t>
            </w:r>
          </w:p>
        </w:tc>
        <w:tc>
          <w:tcPr>
            <w:tcW w:w="2262" w:type="dxa"/>
          </w:tcPr>
          <w:p w14:paraId="7C006AC5" w14:textId="77777777" w:rsidR="00CD12F4" w:rsidRDefault="00000000">
            <w:pPr>
              <w:pStyle w:val="Compact"/>
              <w:jc w:val="right"/>
            </w:pPr>
            <w:r>
              <w:t>Incorrect or mismatched outcomes</w:t>
            </w:r>
          </w:p>
        </w:tc>
      </w:tr>
      <w:tr w:rsidR="00CD12F4" w14:paraId="3747BB0F" w14:textId="77777777">
        <w:tc>
          <w:tcPr>
            <w:tcW w:w="1697" w:type="dxa"/>
          </w:tcPr>
          <w:p w14:paraId="096BA844" w14:textId="77777777" w:rsidR="00CD12F4" w:rsidRDefault="00000000">
            <w:pPr>
              <w:pStyle w:val="Compact"/>
            </w:pPr>
            <w:r>
              <w:t>Repository lookup</w:t>
            </w:r>
          </w:p>
        </w:tc>
        <w:tc>
          <w:tcPr>
            <w:tcW w:w="2262" w:type="dxa"/>
          </w:tcPr>
          <w:p w14:paraId="0222F074" w14:textId="77777777" w:rsidR="00CD12F4" w:rsidRDefault="00000000">
            <w:pPr>
              <w:pStyle w:val="Compact"/>
              <w:jc w:val="right"/>
            </w:pPr>
            <w:r>
              <w:t>12,000</w:t>
            </w:r>
          </w:p>
        </w:tc>
        <w:tc>
          <w:tcPr>
            <w:tcW w:w="1697" w:type="dxa"/>
          </w:tcPr>
          <w:p w14:paraId="116F4B04" w14:textId="77777777" w:rsidR="00CD12F4" w:rsidRDefault="00000000">
            <w:pPr>
              <w:pStyle w:val="Compact"/>
            </w:pPr>
            <w:r>
              <w:t>6,000 hits; 6,000 misses</w:t>
            </w:r>
          </w:p>
        </w:tc>
        <w:tc>
          <w:tcPr>
            <w:tcW w:w="2262" w:type="dxa"/>
          </w:tcPr>
          <w:p w14:paraId="759D86C2" w14:textId="77777777" w:rsidR="00CD12F4" w:rsidRDefault="00000000">
            <w:pPr>
              <w:pStyle w:val="Compact"/>
              <w:jc w:val="right"/>
            </w:pPr>
            <w:r>
              <w:t>0 mismatches</w:t>
            </w:r>
          </w:p>
        </w:tc>
      </w:tr>
      <w:tr w:rsidR="00CD12F4" w14:paraId="2A97841C" w14:textId="77777777">
        <w:tc>
          <w:tcPr>
            <w:tcW w:w="1697" w:type="dxa"/>
          </w:tcPr>
          <w:p w14:paraId="55E00E95" w14:textId="77777777" w:rsidR="00CD12F4" w:rsidRDefault="00000000">
            <w:pPr>
              <w:pStyle w:val="Compact"/>
            </w:pPr>
            <w:r>
              <w:t>Authorization</w:t>
            </w:r>
          </w:p>
        </w:tc>
        <w:tc>
          <w:tcPr>
            <w:tcW w:w="2262" w:type="dxa"/>
          </w:tcPr>
          <w:p w14:paraId="0F9C45B2" w14:textId="77777777" w:rsidR="00CD12F4" w:rsidRDefault="00000000">
            <w:pPr>
              <w:pStyle w:val="Compact"/>
              <w:jc w:val="right"/>
            </w:pPr>
            <w:r>
              <w:t>12,000</w:t>
            </w:r>
          </w:p>
        </w:tc>
        <w:tc>
          <w:tcPr>
            <w:tcW w:w="1697" w:type="dxa"/>
          </w:tcPr>
          <w:p w14:paraId="792A6FCA" w14:textId="77777777" w:rsidR="00CD12F4" w:rsidRDefault="00000000">
            <w:pPr>
              <w:pStyle w:val="Compact"/>
            </w:pPr>
            <w:r>
              <w:t>4,800 grants; 6,000 denials; 1,200 invalid-floor errors</w:t>
            </w:r>
          </w:p>
        </w:tc>
        <w:tc>
          <w:tcPr>
            <w:tcW w:w="2262" w:type="dxa"/>
          </w:tcPr>
          <w:p w14:paraId="6C0F8613" w14:textId="77777777" w:rsidR="00CD12F4" w:rsidRDefault="00000000">
            <w:pPr>
              <w:pStyle w:val="Compact"/>
              <w:jc w:val="right"/>
            </w:pPr>
            <w:r>
              <w:t>0 incorrect grants; 0 incorrect denials; 0 other mismatches</w:t>
            </w:r>
          </w:p>
        </w:tc>
      </w:tr>
    </w:tbl>
    <w:p w14:paraId="11B3EDBB" w14:textId="77777777" w:rsidR="00CD12F4" w:rsidRDefault="00000000">
      <w:pPr>
        <w:pStyle w:val="a0"/>
      </w:pPr>
      <w:r>
        <w:t>These values demonstrate agreement with the deterministic constructed cases. They do not estimate population error rates or deployed reliability.</w:t>
      </w:r>
    </w:p>
    <w:p w14:paraId="3EB3E451" w14:textId="77777777" w:rsidR="00CD12F4" w:rsidRDefault="00000000">
      <w:pPr>
        <w:pStyle w:val="3"/>
      </w:pPr>
      <w:bookmarkStart w:id="39" w:name="repetition-level-timing-summary"/>
      <w:bookmarkEnd w:id="38"/>
      <w:r>
        <w:t>Repetition-level timing summary</w:t>
      </w:r>
    </w:p>
    <w:p w14:paraId="164AD8E9" w14:textId="77777777" w:rsidR="00CD12F4" w:rsidRDefault="00000000">
      <w:pPr>
        <w:pStyle w:val="FirstParagraph"/>
      </w:pPr>
      <w:r>
        <w:t>The table below reproduces the accepted average-time min/median/max fields. Each row contains exactly three measured repetition-level averages; the central value is the median of those three averages, and the endpoints are their minimum and maximum. Statistics are not pooled across individual calls.</w:t>
      </w:r>
    </w:p>
    <w:tbl>
      <w:tblPr>
        <w:tblStyle w:val="Table"/>
        <w:tblW w:w="5000" w:type="pct"/>
        <w:tblLayout w:type="fixed"/>
        <w:tblLook w:val="0020" w:firstRow="1" w:lastRow="0" w:firstColumn="0" w:lastColumn="0" w:noHBand="0" w:noVBand="0"/>
      </w:tblPr>
      <w:tblGrid>
        <w:gridCol w:w="1065"/>
        <w:gridCol w:w="1418"/>
        <w:gridCol w:w="1418"/>
        <w:gridCol w:w="1418"/>
        <w:gridCol w:w="1418"/>
        <w:gridCol w:w="1418"/>
        <w:gridCol w:w="1421"/>
      </w:tblGrid>
      <w:tr w:rsidR="00CD12F4" w14:paraId="5292FE4E" w14:textId="77777777" w:rsidTr="00CD12F4">
        <w:trPr>
          <w:cnfStyle w:val="100000000000" w:firstRow="1" w:lastRow="0" w:firstColumn="0" w:lastColumn="0" w:oddVBand="0" w:evenVBand="0" w:oddHBand="0" w:evenHBand="0" w:firstRowFirstColumn="0" w:firstRowLastColumn="0" w:lastRowFirstColumn="0" w:lastRowLastColumn="0"/>
          <w:tblHeader/>
        </w:trPr>
        <w:tc>
          <w:tcPr>
            <w:tcW w:w="880" w:type="dxa"/>
          </w:tcPr>
          <w:p w14:paraId="5070222F" w14:textId="77777777" w:rsidR="00CD12F4" w:rsidRDefault="00000000">
            <w:pPr>
              <w:pStyle w:val="Compact"/>
            </w:pPr>
            <w:r>
              <w:t>Operation boundary</w:t>
            </w:r>
          </w:p>
        </w:tc>
        <w:tc>
          <w:tcPr>
            <w:tcW w:w="1173" w:type="dxa"/>
          </w:tcPr>
          <w:p w14:paraId="78DC401C" w14:textId="77777777" w:rsidR="00CD12F4" w:rsidRDefault="00000000">
            <w:pPr>
              <w:pStyle w:val="Compact"/>
              <w:jc w:val="right"/>
            </w:pPr>
            <w:r>
              <w:t>Credentials</w:t>
            </w:r>
          </w:p>
        </w:tc>
        <w:tc>
          <w:tcPr>
            <w:tcW w:w="1173" w:type="dxa"/>
          </w:tcPr>
          <w:p w14:paraId="3494669D" w14:textId="77777777" w:rsidR="00CD12F4" w:rsidRDefault="00000000">
            <w:pPr>
              <w:pStyle w:val="Compact"/>
              <w:jc w:val="right"/>
            </w:pPr>
            <w:r>
              <w:t>Calls per repetition</w:t>
            </w:r>
          </w:p>
        </w:tc>
        <w:tc>
          <w:tcPr>
            <w:tcW w:w="1173" w:type="dxa"/>
          </w:tcPr>
          <w:p w14:paraId="3C315300" w14:textId="77777777" w:rsidR="00CD12F4" w:rsidRDefault="00000000">
            <w:pPr>
              <w:pStyle w:val="Compact"/>
              <w:jc w:val="right"/>
            </w:pPr>
            <w:r>
              <w:t>Total calls</w:t>
            </w:r>
          </w:p>
        </w:tc>
        <w:tc>
          <w:tcPr>
            <w:tcW w:w="1173" w:type="dxa"/>
          </w:tcPr>
          <w:p w14:paraId="4B4A0928" w14:textId="77777777" w:rsidR="00CD12F4" w:rsidRDefault="00000000">
            <w:pPr>
              <w:pStyle w:val="Compact"/>
              <w:jc w:val="right"/>
            </w:pPr>
            <w:r>
              <w:t>Average ns, min</w:t>
            </w:r>
          </w:p>
        </w:tc>
        <w:tc>
          <w:tcPr>
            <w:tcW w:w="1173" w:type="dxa"/>
          </w:tcPr>
          <w:p w14:paraId="724E1B6B" w14:textId="77777777" w:rsidR="00CD12F4" w:rsidRDefault="00000000">
            <w:pPr>
              <w:pStyle w:val="Compact"/>
              <w:jc w:val="right"/>
            </w:pPr>
            <w:r>
              <w:t>Average ns, median</w:t>
            </w:r>
          </w:p>
        </w:tc>
        <w:tc>
          <w:tcPr>
            <w:tcW w:w="1173" w:type="dxa"/>
          </w:tcPr>
          <w:p w14:paraId="397EDA8C" w14:textId="77777777" w:rsidR="00CD12F4" w:rsidRDefault="00000000">
            <w:pPr>
              <w:pStyle w:val="Compact"/>
              <w:jc w:val="right"/>
            </w:pPr>
            <w:r>
              <w:t>Average ns, max</w:t>
            </w:r>
          </w:p>
        </w:tc>
      </w:tr>
      <w:tr w:rsidR="00CD12F4" w14:paraId="11C693EC" w14:textId="77777777">
        <w:tc>
          <w:tcPr>
            <w:tcW w:w="880" w:type="dxa"/>
          </w:tcPr>
          <w:p w14:paraId="6C32E12E" w14:textId="77777777" w:rsidR="00CD12F4" w:rsidRDefault="00000000">
            <w:pPr>
              <w:pStyle w:val="Compact"/>
            </w:pPr>
            <w:r>
              <w:t xml:space="preserve">Mixed </w:t>
            </w:r>
            <w:r>
              <w:rPr>
                <w:rStyle w:val="VerbatimChar"/>
              </w:rPr>
              <w:t>Controller.sub</w:t>
            </w:r>
            <w:r>
              <w:rPr>
                <w:rStyle w:val="VerbatimChar"/>
              </w:rPr>
              <w:lastRenderedPageBreak/>
              <w:t>mit</w:t>
            </w:r>
          </w:p>
        </w:tc>
        <w:tc>
          <w:tcPr>
            <w:tcW w:w="1173" w:type="dxa"/>
          </w:tcPr>
          <w:p w14:paraId="76F5A2A9" w14:textId="77777777" w:rsidR="00CD12F4" w:rsidRDefault="00000000">
            <w:pPr>
              <w:pStyle w:val="Compact"/>
              <w:jc w:val="right"/>
            </w:pPr>
            <w:r>
              <w:lastRenderedPageBreak/>
              <w:t>10</w:t>
            </w:r>
          </w:p>
        </w:tc>
        <w:tc>
          <w:tcPr>
            <w:tcW w:w="1173" w:type="dxa"/>
          </w:tcPr>
          <w:p w14:paraId="486E1E76" w14:textId="77777777" w:rsidR="00CD12F4" w:rsidRDefault="00000000">
            <w:pPr>
              <w:pStyle w:val="Compact"/>
              <w:jc w:val="right"/>
            </w:pPr>
            <w:r>
              <w:t>1,000</w:t>
            </w:r>
          </w:p>
        </w:tc>
        <w:tc>
          <w:tcPr>
            <w:tcW w:w="1173" w:type="dxa"/>
          </w:tcPr>
          <w:p w14:paraId="43937274" w14:textId="77777777" w:rsidR="00CD12F4" w:rsidRDefault="00000000">
            <w:pPr>
              <w:pStyle w:val="Compact"/>
              <w:jc w:val="right"/>
            </w:pPr>
            <w:r>
              <w:t>3,000</w:t>
            </w:r>
          </w:p>
        </w:tc>
        <w:tc>
          <w:tcPr>
            <w:tcW w:w="1173" w:type="dxa"/>
          </w:tcPr>
          <w:p w14:paraId="0A9AA0F7" w14:textId="77777777" w:rsidR="00CD12F4" w:rsidRDefault="00000000">
            <w:pPr>
              <w:pStyle w:val="Compact"/>
              <w:jc w:val="right"/>
            </w:pPr>
            <w:r>
              <w:t>7,411.127</w:t>
            </w:r>
          </w:p>
        </w:tc>
        <w:tc>
          <w:tcPr>
            <w:tcW w:w="1173" w:type="dxa"/>
          </w:tcPr>
          <w:p w14:paraId="691DC885" w14:textId="77777777" w:rsidR="00CD12F4" w:rsidRDefault="00000000">
            <w:pPr>
              <w:pStyle w:val="Compact"/>
              <w:jc w:val="right"/>
            </w:pPr>
            <w:r>
              <w:t>7,820.085</w:t>
            </w:r>
          </w:p>
        </w:tc>
        <w:tc>
          <w:tcPr>
            <w:tcW w:w="1173" w:type="dxa"/>
          </w:tcPr>
          <w:p w14:paraId="36A27746" w14:textId="77777777" w:rsidR="00CD12F4" w:rsidRDefault="00000000">
            <w:pPr>
              <w:pStyle w:val="Compact"/>
              <w:jc w:val="right"/>
            </w:pPr>
            <w:r>
              <w:t>8,158.465</w:t>
            </w:r>
          </w:p>
        </w:tc>
      </w:tr>
      <w:tr w:rsidR="00CD12F4" w14:paraId="744FB95E" w14:textId="77777777">
        <w:tc>
          <w:tcPr>
            <w:tcW w:w="880" w:type="dxa"/>
          </w:tcPr>
          <w:p w14:paraId="0A256FE6" w14:textId="77777777" w:rsidR="00CD12F4" w:rsidRDefault="00000000">
            <w:pPr>
              <w:pStyle w:val="Compact"/>
            </w:pPr>
            <w:r>
              <w:t xml:space="preserve">Mixed </w:t>
            </w:r>
            <w:r>
              <w:rPr>
                <w:rStyle w:val="VerbatimChar"/>
              </w:rPr>
              <w:t>Controller.submit</w:t>
            </w:r>
          </w:p>
        </w:tc>
        <w:tc>
          <w:tcPr>
            <w:tcW w:w="1173" w:type="dxa"/>
          </w:tcPr>
          <w:p w14:paraId="59426FA5" w14:textId="77777777" w:rsidR="00CD12F4" w:rsidRDefault="00000000">
            <w:pPr>
              <w:pStyle w:val="Compact"/>
              <w:jc w:val="right"/>
            </w:pPr>
            <w:r>
              <w:t>100</w:t>
            </w:r>
          </w:p>
        </w:tc>
        <w:tc>
          <w:tcPr>
            <w:tcW w:w="1173" w:type="dxa"/>
          </w:tcPr>
          <w:p w14:paraId="64C1E368" w14:textId="77777777" w:rsidR="00CD12F4" w:rsidRDefault="00000000">
            <w:pPr>
              <w:pStyle w:val="Compact"/>
              <w:jc w:val="right"/>
            </w:pPr>
            <w:r>
              <w:t>1,000</w:t>
            </w:r>
          </w:p>
        </w:tc>
        <w:tc>
          <w:tcPr>
            <w:tcW w:w="1173" w:type="dxa"/>
          </w:tcPr>
          <w:p w14:paraId="7D3DFE25" w14:textId="77777777" w:rsidR="00CD12F4" w:rsidRDefault="00000000">
            <w:pPr>
              <w:pStyle w:val="Compact"/>
              <w:jc w:val="right"/>
            </w:pPr>
            <w:r>
              <w:t>3,000</w:t>
            </w:r>
          </w:p>
        </w:tc>
        <w:tc>
          <w:tcPr>
            <w:tcW w:w="1173" w:type="dxa"/>
          </w:tcPr>
          <w:p w14:paraId="4E4BCAD3" w14:textId="77777777" w:rsidR="00CD12F4" w:rsidRDefault="00000000">
            <w:pPr>
              <w:pStyle w:val="Compact"/>
              <w:jc w:val="right"/>
            </w:pPr>
            <w:r>
              <w:t>7,026.045</w:t>
            </w:r>
          </w:p>
        </w:tc>
        <w:tc>
          <w:tcPr>
            <w:tcW w:w="1173" w:type="dxa"/>
          </w:tcPr>
          <w:p w14:paraId="4CB0E462" w14:textId="77777777" w:rsidR="00CD12F4" w:rsidRDefault="00000000">
            <w:pPr>
              <w:pStyle w:val="Compact"/>
              <w:jc w:val="right"/>
            </w:pPr>
            <w:r>
              <w:t>7,032.656</w:t>
            </w:r>
          </w:p>
        </w:tc>
        <w:tc>
          <w:tcPr>
            <w:tcW w:w="1173" w:type="dxa"/>
          </w:tcPr>
          <w:p w14:paraId="39365460" w14:textId="77777777" w:rsidR="00CD12F4" w:rsidRDefault="00000000">
            <w:pPr>
              <w:pStyle w:val="Compact"/>
              <w:jc w:val="right"/>
            </w:pPr>
            <w:r>
              <w:t>7,366.341</w:t>
            </w:r>
          </w:p>
        </w:tc>
      </w:tr>
      <w:tr w:rsidR="00CD12F4" w14:paraId="33DC6754" w14:textId="77777777">
        <w:tc>
          <w:tcPr>
            <w:tcW w:w="880" w:type="dxa"/>
          </w:tcPr>
          <w:p w14:paraId="31874AD4" w14:textId="77777777" w:rsidR="00CD12F4" w:rsidRDefault="00000000">
            <w:pPr>
              <w:pStyle w:val="Compact"/>
            </w:pPr>
            <w:r>
              <w:t xml:space="preserve">Mixed </w:t>
            </w:r>
            <w:r>
              <w:rPr>
                <w:rStyle w:val="VerbatimChar"/>
              </w:rPr>
              <w:t>Controller.submit</w:t>
            </w:r>
          </w:p>
        </w:tc>
        <w:tc>
          <w:tcPr>
            <w:tcW w:w="1173" w:type="dxa"/>
          </w:tcPr>
          <w:p w14:paraId="2E4E6E46" w14:textId="77777777" w:rsidR="00CD12F4" w:rsidRDefault="00000000">
            <w:pPr>
              <w:pStyle w:val="Compact"/>
              <w:jc w:val="right"/>
            </w:pPr>
            <w:r>
              <w:t>1,000</w:t>
            </w:r>
          </w:p>
        </w:tc>
        <w:tc>
          <w:tcPr>
            <w:tcW w:w="1173" w:type="dxa"/>
          </w:tcPr>
          <w:p w14:paraId="11E9434E" w14:textId="77777777" w:rsidR="00CD12F4" w:rsidRDefault="00000000">
            <w:pPr>
              <w:pStyle w:val="Compact"/>
              <w:jc w:val="right"/>
            </w:pPr>
            <w:r>
              <w:t>1,000</w:t>
            </w:r>
          </w:p>
        </w:tc>
        <w:tc>
          <w:tcPr>
            <w:tcW w:w="1173" w:type="dxa"/>
          </w:tcPr>
          <w:p w14:paraId="3CC7D2F0" w14:textId="77777777" w:rsidR="00CD12F4" w:rsidRDefault="00000000">
            <w:pPr>
              <w:pStyle w:val="Compact"/>
              <w:jc w:val="right"/>
            </w:pPr>
            <w:r>
              <w:t>3,000</w:t>
            </w:r>
          </w:p>
        </w:tc>
        <w:tc>
          <w:tcPr>
            <w:tcW w:w="1173" w:type="dxa"/>
          </w:tcPr>
          <w:p w14:paraId="58F42597" w14:textId="77777777" w:rsidR="00CD12F4" w:rsidRDefault="00000000">
            <w:pPr>
              <w:pStyle w:val="Compact"/>
              <w:jc w:val="right"/>
            </w:pPr>
            <w:r>
              <w:t>7,499.490</w:t>
            </w:r>
          </w:p>
        </w:tc>
        <w:tc>
          <w:tcPr>
            <w:tcW w:w="1173" w:type="dxa"/>
          </w:tcPr>
          <w:p w14:paraId="2952FAFB" w14:textId="77777777" w:rsidR="00CD12F4" w:rsidRDefault="00000000">
            <w:pPr>
              <w:pStyle w:val="Compact"/>
              <w:jc w:val="right"/>
            </w:pPr>
            <w:r>
              <w:t>7,882.918</w:t>
            </w:r>
          </w:p>
        </w:tc>
        <w:tc>
          <w:tcPr>
            <w:tcW w:w="1173" w:type="dxa"/>
          </w:tcPr>
          <w:p w14:paraId="6F7342F3" w14:textId="77777777" w:rsidR="00CD12F4" w:rsidRDefault="00000000">
            <w:pPr>
              <w:pStyle w:val="Compact"/>
              <w:jc w:val="right"/>
            </w:pPr>
            <w:r>
              <w:t>8,938.383</w:t>
            </w:r>
          </w:p>
        </w:tc>
      </w:tr>
      <w:tr w:rsidR="00CD12F4" w14:paraId="1CB63CFC" w14:textId="77777777">
        <w:tc>
          <w:tcPr>
            <w:tcW w:w="880" w:type="dxa"/>
          </w:tcPr>
          <w:p w14:paraId="2974CF85" w14:textId="77777777" w:rsidR="00CD12F4" w:rsidRDefault="00000000">
            <w:pPr>
              <w:pStyle w:val="Compact"/>
            </w:pPr>
            <w:r>
              <w:t xml:space="preserve">Mixed </w:t>
            </w:r>
            <w:r>
              <w:rPr>
                <w:rStyle w:val="VerbatimChar"/>
              </w:rPr>
              <w:t>Controller.submit</w:t>
            </w:r>
          </w:p>
        </w:tc>
        <w:tc>
          <w:tcPr>
            <w:tcW w:w="1173" w:type="dxa"/>
          </w:tcPr>
          <w:p w14:paraId="0149D82B" w14:textId="77777777" w:rsidR="00CD12F4" w:rsidRDefault="00000000">
            <w:pPr>
              <w:pStyle w:val="Compact"/>
              <w:jc w:val="right"/>
            </w:pPr>
            <w:r>
              <w:t>10,000</w:t>
            </w:r>
          </w:p>
        </w:tc>
        <w:tc>
          <w:tcPr>
            <w:tcW w:w="1173" w:type="dxa"/>
          </w:tcPr>
          <w:p w14:paraId="08F69B9A" w14:textId="77777777" w:rsidR="00CD12F4" w:rsidRDefault="00000000">
            <w:pPr>
              <w:pStyle w:val="Compact"/>
              <w:jc w:val="right"/>
            </w:pPr>
            <w:r>
              <w:t>10,000</w:t>
            </w:r>
          </w:p>
        </w:tc>
        <w:tc>
          <w:tcPr>
            <w:tcW w:w="1173" w:type="dxa"/>
          </w:tcPr>
          <w:p w14:paraId="77BC1C57" w14:textId="77777777" w:rsidR="00CD12F4" w:rsidRDefault="00000000">
            <w:pPr>
              <w:pStyle w:val="Compact"/>
              <w:jc w:val="right"/>
            </w:pPr>
            <w:r>
              <w:t>30,000</w:t>
            </w:r>
          </w:p>
        </w:tc>
        <w:tc>
          <w:tcPr>
            <w:tcW w:w="1173" w:type="dxa"/>
          </w:tcPr>
          <w:p w14:paraId="06982032" w14:textId="77777777" w:rsidR="00CD12F4" w:rsidRDefault="00000000">
            <w:pPr>
              <w:pStyle w:val="Compact"/>
              <w:jc w:val="right"/>
            </w:pPr>
            <w:r>
              <w:t>7,982.8124</w:t>
            </w:r>
          </w:p>
        </w:tc>
        <w:tc>
          <w:tcPr>
            <w:tcW w:w="1173" w:type="dxa"/>
          </w:tcPr>
          <w:p w14:paraId="1517CD4C" w14:textId="77777777" w:rsidR="00CD12F4" w:rsidRDefault="00000000">
            <w:pPr>
              <w:pStyle w:val="Compact"/>
              <w:jc w:val="right"/>
            </w:pPr>
            <w:r>
              <w:t>8,189.5002</w:t>
            </w:r>
          </w:p>
        </w:tc>
        <w:tc>
          <w:tcPr>
            <w:tcW w:w="1173" w:type="dxa"/>
          </w:tcPr>
          <w:p w14:paraId="4D2B99C0" w14:textId="77777777" w:rsidR="00CD12F4" w:rsidRDefault="00000000">
            <w:pPr>
              <w:pStyle w:val="Compact"/>
              <w:jc w:val="right"/>
            </w:pPr>
            <w:r>
              <w:t>8,211.0671</w:t>
            </w:r>
          </w:p>
        </w:tc>
      </w:tr>
      <w:tr w:rsidR="00CD12F4" w14:paraId="7324DFBD" w14:textId="77777777">
        <w:tc>
          <w:tcPr>
            <w:tcW w:w="880" w:type="dxa"/>
          </w:tcPr>
          <w:p w14:paraId="164E480C" w14:textId="77777777" w:rsidR="00CD12F4" w:rsidRDefault="00000000">
            <w:pPr>
              <w:pStyle w:val="Compact"/>
            </w:pPr>
            <w:r>
              <w:t>Direct repository lookup</w:t>
            </w:r>
          </w:p>
        </w:tc>
        <w:tc>
          <w:tcPr>
            <w:tcW w:w="1173" w:type="dxa"/>
          </w:tcPr>
          <w:p w14:paraId="542EA630" w14:textId="77777777" w:rsidR="00CD12F4" w:rsidRDefault="00000000">
            <w:pPr>
              <w:pStyle w:val="Compact"/>
              <w:jc w:val="right"/>
            </w:pPr>
            <w:r>
              <w:t>10</w:t>
            </w:r>
          </w:p>
        </w:tc>
        <w:tc>
          <w:tcPr>
            <w:tcW w:w="1173" w:type="dxa"/>
          </w:tcPr>
          <w:p w14:paraId="1CAA5143" w14:textId="77777777" w:rsidR="00CD12F4" w:rsidRDefault="00000000">
            <w:pPr>
              <w:pStyle w:val="Compact"/>
              <w:jc w:val="right"/>
            </w:pPr>
            <w:r>
              <w:t>1,000</w:t>
            </w:r>
          </w:p>
        </w:tc>
        <w:tc>
          <w:tcPr>
            <w:tcW w:w="1173" w:type="dxa"/>
          </w:tcPr>
          <w:p w14:paraId="4CFC384D" w14:textId="77777777" w:rsidR="00CD12F4" w:rsidRDefault="00000000">
            <w:pPr>
              <w:pStyle w:val="Compact"/>
              <w:jc w:val="right"/>
            </w:pPr>
            <w:r>
              <w:t>3,000</w:t>
            </w:r>
          </w:p>
        </w:tc>
        <w:tc>
          <w:tcPr>
            <w:tcW w:w="1173" w:type="dxa"/>
          </w:tcPr>
          <w:p w14:paraId="0308CE53" w14:textId="77777777" w:rsidR="00CD12F4" w:rsidRDefault="00000000">
            <w:pPr>
              <w:pStyle w:val="Compact"/>
              <w:jc w:val="right"/>
            </w:pPr>
            <w:r>
              <w:t>286.191</w:t>
            </w:r>
          </w:p>
        </w:tc>
        <w:tc>
          <w:tcPr>
            <w:tcW w:w="1173" w:type="dxa"/>
          </w:tcPr>
          <w:p w14:paraId="03DFEC4B" w14:textId="77777777" w:rsidR="00CD12F4" w:rsidRDefault="00000000">
            <w:pPr>
              <w:pStyle w:val="Compact"/>
              <w:jc w:val="right"/>
            </w:pPr>
            <w:r>
              <w:t>297.496</w:t>
            </w:r>
          </w:p>
        </w:tc>
        <w:tc>
          <w:tcPr>
            <w:tcW w:w="1173" w:type="dxa"/>
          </w:tcPr>
          <w:p w14:paraId="4078BE2F" w14:textId="77777777" w:rsidR="00CD12F4" w:rsidRDefault="00000000">
            <w:pPr>
              <w:pStyle w:val="Compact"/>
              <w:jc w:val="right"/>
            </w:pPr>
            <w:r>
              <w:t>320.778</w:t>
            </w:r>
          </w:p>
        </w:tc>
      </w:tr>
      <w:tr w:rsidR="00CD12F4" w14:paraId="1A304814" w14:textId="77777777">
        <w:tc>
          <w:tcPr>
            <w:tcW w:w="880" w:type="dxa"/>
          </w:tcPr>
          <w:p w14:paraId="68A83BEF" w14:textId="77777777" w:rsidR="00CD12F4" w:rsidRDefault="00000000">
            <w:pPr>
              <w:pStyle w:val="Compact"/>
            </w:pPr>
            <w:r>
              <w:t>Direct repository lookup</w:t>
            </w:r>
          </w:p>
        </w:tc>
        <w:tc>
          <w:tcPr>
            <w:tcW w:w="1173" w:type="dxa"/>
          </w:tcPr>
          <w:p w14:paraId="19103DC8" w14:textId="77777777" w:rsidR="00CD12F4" w:rsidRDefault="00000000">
            <w:pPr>
              <w:pStyle w:val="Compact"/>
              <w:jc w:val="right"/>
            </w:pPr>
            <w:r>
              <w:t>100</w:t>
            </w:r>
          </w:p>
        </w:tc>
        <w:tc>
          <w:tcPr>
            <w:tcW w:w="1173" w:type="dxa"/>
          </w:tcPr>
          <w:p w14:paraId="1F1EE219" w14:textId="77777777" w:rsidR="00CD12F4" w:rsidRDefault="00000000">
            <w:pPr>
              <w:pStyle w:val="Compact"/>
              <w:jc w:val="right"/>
            </w:pPr>
            <w:r>
              <w:t>1,000</w:t>
            </w:r>
          </w:p>
        </w:tc>
        <w:tc>
          <w:tcPr>
            <w:tcW w:w="1173" w:type="dxa"/>
          </w:tcPr>
          <w:p w14:paraId="7ED494A6" w14:textId="77777777" w:rsidR="00CD12F4" w:rsidRDefault="00000000">
            <w:pPr>
              <w:pStyle w:val="Compact"/>
              <w:jc w:val="right"/>
            </w:pPr>
            <w:r>
              <w:t>3,000</w:t>
            </w:r>
          </w:p>
        </w:tc>
        <w:tc>
          <w:tcPr>
            <w:tcW w:w="1173" w:type="dxa"/>
          </w:tcPr>
          <w:p w14:paraId="3C578DA8" w14:textId="77777777" w:rsidR="00CD12F4" w:rsidRDefault="00000000">
            <w:pPr>
              <w:pStyle w:val="Compact"/>
              <w:jc w:val="right"/>
            </w:pPr>
            <w:r>
              <w:t>271.767</w:t>
            </w:r>
          </w:p>
        </w:tc>
        <w:tc>
          <w:tcPr>
            <w:tcW w:w="1173" w:type="dxa"/>
          </w:tcPr>
          <w:p w14:paraId="05E2287F" w14:textId="77777777" w:rsidR="00CD12F4" w:rsidRDefault="00000000">
            <w:pPr>
              <w:pStyle w:val="Compact"/>
              <w:jc w:val="right"/>
            </w:pPr>
            <w:r>
              <w:t>278.224</w:t>
            </w:r>
          </w:p>
        </w:tc>
        <w:tc>
          <w:tcPr>
            <w:tcW w:w="1173" w:type="dxa"/>
          </w:tcPr>
          <w:p w14:paraId="50384808" w14:textId="77777777" w:rsidR="00CD12F4" w:rsidRDefault="00000000">
            <w:pPr>
              <w:pStyle w:val="Compact"/>
              <w:jc w:val="right"/>
            </w:pPr>
            <w:r>
              <w:t>306.548</w:t>
            </w:r>
          </w:p>
        </w:tc>
      </w:tr>
      <w:tr w:rsidR="00CD12F4" w14:paraId="17E3B063" w14:textId="77777777">
        <w:tc>
          <w:tcPr>
            <w:tcW w:w="880" w:type="dxa"/>
          </w:tcPr>
          <w:p w14:paraId="4949F3B1" w14:textId="77777777" w:rsidR="00CD12F4" w:rsidRDefault="00000000">
            <w:pPr>
              <w:pStyle w:val="Compact"/>
            </w:pPr>
            <w:r>
              <w:t>Direct repository lookup</w:t>
            </w:r>
          </w:p>
        </w:tc>
        <w:tc>
          <w:tcPr>
            <w:tcW w:w="1173" w:type="dxa"/>
          </w:tcPr>
          <w:p w14:paraId="3516B1A1" w14:textId="77777777" w:rsidR="00CD12F4" w:rsidRDefault="00000000">
            <w:pPr>
              <w:pStyle w:val="Compact"/>
              <w:jc w:val="right"/>
            </w:pPr>
            <w:r>
              <w:t>1,000</w:t>
            </w:r>
          </w:p>
        </w:tc>
        <w:tc>
          <w:tcPr>
            <w:tcW w:w="1173" w:type="dxa"/>
          </w:tcPr>
          <w:p w14:paraId="42A94FA5" w14:textId="77777777" w:rsidR="00CD12F4" w:rsidRDefault="00000000">
            <w:pPr>
              <w:pStyle w:val="Compact"/>
              <w:jc w:val="right"/>
            </w:pPr>
            <w:r>
              <w:t>1,000</w:t>
            </w:r>
          </w:p>
        </w:tc>
        <w:tc>
          <w:tcPr>
            <w:tcW w:w="1173" w:type="dxa"/>
          </w:tcPr>
          <w:p w14:paraId="746144D4" w14:textId="77777777" w:rsidR="00CD12F4" w:rsidRDefault="00000000">
            <w:pPr>
              <w:pStyle w:val="Compact"/>
              <w:jc w:val="right"/>
            </w:pPr>
            <w:r>
              <w:t>3,000</w:t>
            </w:r>
          </w:p>
        </w:tc>
        <w:tc>
          <w:tcPr>
            <w:tcW w:w="1173" w:type="dxa"/>
          </w:tcPr>
          <w:p w14:paraId="529A7BB1" w14:textId="77777777" w:rsidR="00CD12F4" w:rsidRDefault="00000000">
            <w:pPr>
              <w:pStyle w:val="Compact"/>
              <w:jc w:val="right"/>
            </w:pPr>
            <w:r>
              <w:t>291.953</w:t>
            </w:r>
          </w:p>
        </w:tc>
        <w:tc>
          <w:tcPr>
            <w:tcW w:w="1173" w:type="dxa"/>
          </w:tcPr>
          <w:p w14:paraId="0B8806C0" w14:textId="77777777" w:rsidR="00CD12F4" w:rsidRDefault="00000000">
            <w:pPr>
              <w:pStyle w:val="Compact"/>
              <w:jc w:val="right"/>
            </w:pPr>
            <w:r>
              <w:t>292.728</w:t>
            </w:r>
          </w:p>
        </w:tc>
        <w:tc>
          <w:tcPr>
            <w:tcW w:w="1173" w:type="dxa"/>
          </w:tcPr>
          <w:p w14:paraId="7C77B83B" w14:textId="77777777" w:rsidR="00CD12F4" w:rsidRDefault="00000000">
            <w:pPr>
              <w:pStyle w:val="Compact"/>
              <w:jc w:val="right"/>
            </w:pPr>
            <w:r>
              <w:t>295.824</w:t>
            </w:r>
          </w:p>
        </w:tc>
      </w:tr>
      <w:tr w:rsidR="00CD12F4" w14:paraId="1BC968D7" w14:textId="77777777">
        <w:tc>
          <w:tcPr>
            <w:tcW w:w="880" w:type="dxa"/>
          </w:tcPr>
          <w:p w14:paraId="14F290AC" w14:textId="77777777" w:rsidR="00CD12F4" w:rsidRDefault="00000000">
            <w:pPr>
              <w:pStyle w:val="Compact"/>
            </w:pPr>
            <w:r>
              <w:t>Direct repository lookup</w:t>
            </w:r>
          </w:p>
        </w:tc>
        <w:tc>
          <w:tcPr>
            <w:tcW w:w="1173" w:type="dxa"/>
          </w:tcPr>
          <w:p w14:paraId="38A4CDA2" w14:textId="77777777" w:rsidR="00CD12F4" w:rsidRDefault="00000000">
            <w:pPr>
              <w:pStyle w:val="Compact"/>
              <w:jc w:val="right"/>
            </w:pPr>
            <w:r>
              <w:t>10,000</w:t>
            </w:r>
          </w:p>
        </w:tc>
        <w:tc>
          <w:tcPr>
            <w:tcW w:w="1173" w:type="dxa"/>
          </w:tcPr>
          <w:p w14:paraId="25718DB4" w14:textId="77777777" w:rsidR="00CD12F4" w:rsidRDefault="00000000">
            <w:pPr>
              <w:pStyle w:val="Compact"/>
              <w:jc w:val="right"/>
            </w:pPr>
            <w:r>
              <w:t>1,000</w:t>
            </w:r>
          </w:p>
        </w:tc>
        <w:tc>
          <w:tcPr>
            <w:tcW w:w="1173" w:type="dxa"/>
          </w:tcPr>
          <w:p w14:paraId="105601AB" w14:textId="77777777" w:rsidR="00CD12F4" w:rsidRDefault="00000000">
            <w:pPr>
              <w:pStyle w:val="Compact"/>
              <w:jc w:val="right"/>
            </w:pPr>
            <w:r>
              <w:t>3,000</w:t>
            </w:r>
          </w:p>
        </w:tc>
        <w:tc>
          <w:tcPr>
            <w:tcW w:w="1173" w:type="dxa"/>
          </w:tcPr>
          <w:p w14:paraId="4E8AB757" w14:textId="77777777" w:rsidR="00CD12F4" w:rsidRDefault="00000000">
            <w:pPr>
              <w:pStyle w:val="Compact"/>
              <w:jc w:val="right"/>
            </w:pPr>
            <w:r>
              <w:t>294.767</w:t>
            </w:r>
          </w:p>
        </w:tc>
        <w:tc>
          <w:tcPr>
            <w:tcW w:w="1173" w:type="dxa"/>
          </w:tcPr>
          <w:p w14:paraId="3AA8639D" w14:textId="77777777" w:rsidR="00CD12F4" w:rsidRDefault="00000000">
            <w:pPr>
              <w:pStyle w:val="Compact"/>
              <w:jc w:val="right"/>
            </w:pPr>
            <w:r>
              <w:t>351.938</w:t>
            </w:r>
          </w:p>
        </w:tc>
        <w:tc>
          <w:tcPr>
            <w:tcW w:w="1173" w:type="dxa"/>
          </w:tcPr>
          <w:p w14:paraId="69026429" w14:textId="77777777" w:rsidR="00CD12F4" w:rsidRDefault="00000000">
            <w:pPr>
              <w:pStyle w:val="Compact"/>
              <w:jc w:val="right"/>
            </w:pPr>
            <w:r>
              <w:t>416.956</w:t>
            </w:r>
          </w:p>
        </w:tc>
      </w:tr>
      <w:tr w:rsidR="00CD12F4" w14:paraId="6677DB6C" w14:textId="77777777">
        <w:tc>
          <w:tcPr>
            <w:tcW w:w="880" w:type="dxa"/>
          </w:tcPr>
          <w:p w14:paraId="18C7C1D2" w14:textId="77777777" w:rsidR="00CD12F4" w:rsidRDefault="00000000">
            <w:pPr>
              <w:pStyle w:val="Compact"/>
            </w:pPr>
            <w:r>
              <w:t>Direct authorization</w:t>
            </w:r>
          </w:p>
        </w:tc>
        <w:tc>
          <w:tcPr>
            <w:tcW w:w="1173" w:type="dxa"/>
          </w:tcPr>
          <w:p w14:paraId="4263543B" w14:textId="77777777" w:rsidR="00CD12F4" w:rsidRDefault="00000000">
            <w:pPr>
              <w:pStyle w:val="Compact"/>
              <w:jc w:val="right"/>
            </w:pPr>
            <w:r>
              <w:t>10</w:t>
            </w:r>
          </w:p>
        </w:tc>
        <w:tc>
          <w:tcPr>
            <w:tcW w:w="1173" w:type="dxa"/>
          </w:tcPr>
          <w:p w14:paraId="77A32516" w14:textId="77777777" w:rsidR="00CD12F4" w:rsidRDefault="00000000">
            <w:pPr>
              <w:pStyle w:val="Compact"/>
              <w:jc w:val="right"/>
            </w:pPr>
            <w:r>
              <w:t>1,000</w:t>
            </w:r>
          </w:p>
        </w:tc>
        <w:tc>
          <w:tcPr>
            <w:tcW w:w="1173" w:type="dxa"/>
          </w:tcPr>
          <w:p w14:paraId="48D2AC09" w14:textId="77777777" w:rsidR="00CD12F4" w:rsidRDefault="00000000">
            <w:pPr>
              <w:pStyle w:val="Compact"/>
              <w:jc w:val="right"/>
            </w:pPr>
            <w:r>
              <w:t>3,000</w:t>
            </w:r>
          </w:p>
        </w:tc>
        <w:tc>
          <w:tcPr>
            <w:tcW w:w="1173" w:type="dxa"/>
          </w:tcPr>
          <w:p w14:paraId="551EB69A" w14:textId="77777777" w:rsidR="00CD12F4" w:rsidRDefault="00000000">
            <w:pPr>
              <w:pStyle w:val="Compact"/>
              <w:jc w:val="right"/>
            </w:pPr>
            <w:r>
              <w:t>557.965</w:t>
            </w:r>
          </w:p>
        </w:tc>
        <w:tc>
          <w:tcPr>
            <w:tcW w:w="1173" w:type="dxa"/>
          </w:tcPr>
          <w:p w14:paraId="165009EA" w14:textId="77777777" w:rsidR="00CD12F4" w:rsidRDefault="00000000">
            <w:pPr>
              <w:pStyle w:val="Compact"/>
              <w:jc w:val="right"/>
            </w:pPr>
            <w:r>
              <w:t>590.139</w:t>
            </w:r>
          </w:p>
        </w:tc>
        <w:tc>
          <w:tcPr>
            <w:tcW w:w="1173" w:type="dxa"/>
          </w:tcPr>
          <w:p w14:paraId="179912ED" w14:textId="77777777" w:rsidR="00CD12F4" w:rsidRDefault="00000000">
            <w:pPr>
              <w:pStyle w:val="Compact"/>
              <w:jc w:val="right"/>
            </w:pPr>
            <w:r>
              <w:t>601.094</w:t>
            </w:r>
          </w:p>
        </w:tc>
      </w:tr>
      <w:tr w:rsidR="00CD12F4" w14:paraId="58FC3A20" w14:textId="77777777">
        <w:tc>
          <w:tcPr>
            <w:tcW w:w="880" w:type="dxa"/>
          </w:tcPr>
          <w:p w14:paraId="1F29A976" w14:textId="77777777" w:rsidR="00CD12F4" w:rsidRDefault="00000000">
            <w:pPr>
              <w:pStyle w:val="Compact"/>
            </w:pPr>
            <w:r>
              <w:t>Direct authorization</w:t>
            </w:r>
          </w:p>
        </w:tc>
        <w:tc>
          <w:tcPr>
            <w:tcW w:w="1173" w:type="dxa"/>
          </w:tcPr>
          <w:p w14:paraId="1C56C493" w14:textId="77777777" w:rsidR="00CD12F4" w:rsidRDefault="00000000">
            <w:pPr>
              <w:pStyle w:val="Compact"/>
              <w:jc w:val="right"/>
            </w:pPr>
            <w:r>
              <w:t>100</w:t>
            </w:r>
          </w:p>
        </w:tc>
        <w:tc>
          <w:tcPr>
            <w:tcW w:w="1173" w:type="dxa"/>
          </w:tcPr>
          <w:p w14:paraId="47BFF16D" w14:textId="77777777" w:rsidR="00CD12F4" w:rsidRDefault="00000000">
            <w:pPr>
              <w:pStyle w:val="Compact"/>
              <w:jc w:val="right"/>
            </w:pPr>
            <w:r>
              <w:t>1,000</w:t>
            </w:r>
          </w:p>
        </w:tc>
        <w:tc>
          <w:tcPr>
            <w:tcW w:w="1173" w:type="dxa"/>
          </w:tcPr>
          <w:p w14:paraId="299DBB04" w14:textId="77777777" w:rsidR="00CD12F4" w:rsidRDefault="00000000">
            <w:pPr>
              <w:pStyle w:val="Compact"/>
              <w:jc w:val="right"/>
            </w:pPr>
            <w:r>
              <w:t>3,000</w:t>
            </w:r>
          </w:p>
        </w:tc>
        <w:tc>
          <w:tcPr>
            <w:tcW w:w="1173" w:type="dxa"/>
          </w:tcPr>
          <w:p w14:paraId="231C48D2" w14:textId="77777777" w:rsidR="00CD12F4" w:rsidRDefault="00000000">
            <w:pPr>
              <w:pStyle w:val="Compact"/>
              <w:jc w:val="right"/>
            </w:pPr>
            <w:r>
              <w:t>560.972</w:t>
            </w:r>
          </w:p>
        </w:tc>
        <w:tc>
          <w:tcPr>
            <w:tcW w:w="1173" w:type="dxa"/>
          </w:tcPr>
          <w:p w14:paraId="0F2254E4" w14:textId="77777777" w:rsidR="00CD12F4" w:rsidRDefault="00000000">
            <w:pPr>
              <w:pStyle w:val="Compact"/>
              <w:jc w:val="right"/>
            </w:pPr>
            <w:r>
              <w:t>565.264</w:t>
            </w:r>
          </w:p>
        </w:tc>
        <w:tc>
          <w:tcPr>
            <w:tcW w:w="1173" w:type="dxa"/>
          </w:tcPr>
          <w:p w14:paraId="331F75F0" w14:textId="77777777" w:rsidR="00CD12F4" w:rsidRDefault="00000000">
            <w:pPr>
              <w:pStyle w:val="Compact"/>
              <w:jc w:val="right"/>
            </w:pPr>
            <w:r>
              <w:t>623.174</w:t>
            </w:r>
          </w:p>
        </w:tc>
      </w:tr>
      <w:tr w:rsidR="00CD12F4" w14:paraId="39E35336" w14:textId="77777777">
        <w:tc>
          <w:tcPr>
            <w:tcW w:w="880" w:type="dxa"/>
          </w:tcPr>
          <w:p w14:paraId="5F4EB178" w14:textId="77777777" w:rsidR="00CD12F4" w:rsidRDefault="00000000">
            <w:pPr>
              <w:pStyle w:val="Compact"/>
            </w:pPr>
            <w:r>
              <w:t>Direct authorization</w:t>
            </w:r>
          </w:p>
        </w:tc>
        <w:tc>
          <w:tcPr>
            <w:tcW w:w="1173" w:type="dxa"/>
          </w:tcPr>
          <w:p w14:paraId="68FB2C3F" w14:textId="77777777" w:rsidR="00CD12F4" w:rsidRDefault="00000000">
            <w:pPr>
              <w:pStyle w:val="Compact"/>
              <w:jc w:val="right"/>
            </w:pPr>
            <w:r>
              <w:t>1,000</w:t>
            </w:r>
          </w:p>
        </w:tc>
        <w:tc>
          <w:tcPr>
            <w:tcW w:w="1173" w:type="dxa"/>
          </w:tcPr>
          <w:p w14:paraId="06DD5D0F" w14:textId="77777777" w:rsidR="00CD12F4" w:rsidRDefault="00000000">
            <w:pPr>
              <w:pStyle w:val="Compact"/>
              <w:jc w:val="right"/>
            </w:pPr>
            <w:r>
              <w:t>1,000</w:t>
            </w:r>
          </w:p>
        </w:tc>
        <w:tc>
          <w:tcPr>
            <w:tcW w:w="1173" w:type="dxa"/>
          </w:tcPr>
          <w:p w14:paraId="7547B8B3" w14:textId="77777777" w:rsidR="00CD12F4" w:rsidRDefault="00000000">
            <w:pPr>
              <w:pStyle w:val="Compact"/>
              <w:jc w:val="right"/>
            </w:pPr>
            <w:r>
              <w:t>3,000</w:t>
            </w:r>
          </w:p>
        </w:tc>
        <w:tc>
          <w:tcPr>
            <w:tcW w:w="1173" w:type="dxa"/>
          </w:tcPr>
          <w:p w14:paraId="5B85AA54" w14:textId="77777777" w:rsidR="00CD12F4" w:rsidRDefault="00000000">
            <w:pPr>
              <w:pStyle w:val="Compact"/>
              <w:jc w:val="right"/>
            </w:pPr>
            <w:r>
              <w:t>599.708</w:t>
            </w:r>
          </w:p>
        </w:tc>
        <w:tc>
          <w:tcPr>
            <w:tcW w:w="1173" w:type="dxa"/>
          </w:tcPr>
          <w:p w14:paraId="31E449BC" w14:textId="77777777" w:rsidR="00CD12F4" w:rsidRDefault="00000000">
            <w:pPr>
              <w:pStyle w:val="Compact"/>
              <w:jc w:val="right"/>
            </w:pPr>
            <w:r>
              <w:t>616.682</w:t>
            </w:r>
          </w:p>
        </w:tc>
        <w:tc>
          <w:tcPr>
            <w:tcW w:w="1173" w:type="dxa"/>
          </w:tcPr>
          <w:p w14:paraId="1DED7662" w14:textId="77777777" w:rsidR="00CD12F4" w:rsidRDefault="00000000">
            <w:pPr>
              <w:pStyle w:val="Compact"/>
              <w:jc w:val="right"/>
            </w:pPr>
            <w:r>
              <w:t>620.939</w:t>
            </w:r>
          </w:p>
        </w:tc>
      </w:tr>
      <w:tr w:rsidR="00CD12F4" w14:paraId="28A4CD14" w14:textId="77777777">
        <w:tc>
          <w:tcPr>
            <w:tcW w:w="880" w:type="dxa"/>
          </w:tcPr>
          <w:p w14:paraId="60FC0EA4" w14:textId="77777777" w:rsidR="00CD12F4" w:rsidRDefault="00000000">
            <w:pPr>
              <w:pStyle w:val="Compact"/>
            </w:pPr>
            <w:r>
              <w:lastRenderedPageBreak/>
              <w:t>Direct authorization</w:t>
            </w:r>
          </w:p>
        </w:tc>
        <w:tc>
          <w:tcPr>
            <w:tcW w:w="1173" w:type="dxa"/>
          </w:tcPr>
          <w:p w14:paraId="40CA831E" w14:textId="77777777" w:rsidR="00CD12F4" w:rsidRDefault="00000000">
            <w:pPr>
              <w:pStyle w:val="Compact"/>
              <w:jc w:val="right"/>
            </w:pPr>
            <w:r>
              <w:t>10,000</w:t>
            </w:r>
          </w:p>
        </w:tc>
        <w:tc>
          <w:tcPr>
            <w:tcW w:w="1173" w:type="dxa"/>
          </w:tcPr>
          <w:p w14:paraId="3414F210" w14:textId="77777777" w:rsidR="00CD12F4" w:rsidRDefault="00000000">
            <w:pPr>
              <w:pStyle w:val="Compact"/>
              <w:jc w:val="right"/>
            </w:pPr>
            <w:r>
              <w:t>1,000</w:t>
            </w:r>
          </w:p>
        </w:tc>
        <w:tc>
          <w:tcPr>
            <w:tcW w:w="1173" w:type="dxa"/>
          </w:tcPr>
          <w:p w14:paraId="22971353" w14:textId="77777777" w:rsidR="00CD12F4" w:rsidRDefault="00000000">
            <w:pPr>
              <w:pStyle w:val="Compact"/>
              <w:jc w:val="right"/>
            </w:pPr>
            <w:r>
              <w:t>3,000</w:t>
            </w:r>
          </w:p>
        </w:tc>
        <w:tc>
          <w:tcPr>
            <w:tcW w:w="1173" w:type="dxa"/>
          </w:tcPr>
          <w:p w14:paraId="18CD23E2" w14:textId="77777777" w:rsidR="00CD12F4" w:rsidRDefault="00000000">
            <w:pPr>
              <w:pStyle w:val="Compact"/>
              <w:jc w:val="right"/>
            </w:pPr>
            <w:r>
              <w:t>607.636</w:t>
            </w:r>
          </w:p>
        </w:tc>
        <w:tc>
          <w:tcPr>
            <w:tcW w:w="1173" w:type="dxa"/>
          </w:tcPr>
          <w:p w14:paraId="10E64895" w14:textId="77777777" w:rsidR="00CD12F4" w:rsidRDefault="00000000">
            <w:pPr>
              <w:pStyle w:val="Compact"/>
              <w:jc w:val="right"/>
            </w:pPr>
            <w:r>
              <w:t>614.437</w:t>
            </w:r>
          </w:p>
        </w:tc>
        <w:tc>
          <w:tcPr>
            <w:tcW w:w="1173" w:type="dxa"/>
          </w:tcPr>
          <w:p w14:paraId="6D7B276F" w14:textId="77777777" w:rsidR="00CD12F4" w:rsidRDefault="00000000">
            <w:pPr>
              <w:pStyle w:val="Compact"/>
              <w:jc w:val="right"/>
            </w:pPr>
            <w:r>
              <w:t>627.181</w:t>
            </w:r>
          </w:p>
        </w:tc>
      </w:tr>
      <w:tr w:rsidR="00CD12F4" w14:paraId="500BFB65" w14:textId="77777777">
        <w:tblPrEx>
          <w:jc w:val="center"/>
          <w:tblLook w:val="0600" w:firstRow="0" w:lastRow="0" w:firstColumn="0" w:lastColumn="0" w:noHBand="1" w:noVBand="1"/>
        </w:tblPrEx>
        <w:trPr>
          <w:jc w:val="center"/>
        </w:trPr>
        <w:tc>
          <w:tcPr>
            <w:tcW w:w="7920" w:type="dxa"/>
            <w:gridSpan w:val="7"/>
          </w:tcPr>
          <w:p w14:paraId="555C4691" w14:textId="77777777" w:rsidR="00CD12F4" w:rsidRDefault="00000000">
            <w:pPr>
              <w:pStyle w:val="Compact"/>
              <w:jc w:val="center"/>
            </w:pPr>
            <w:r>
              <w:t>Mixed controller request-processing timing. Points are repetition-level averages; the line is their three-value median and whiskers are their minimum and maximum.</w:t>
            </w:r>
          </w:p>
        </w:tc>
      </w:tr>
    </w:tbl>
    <w:p w14:paraId="76B83FE8" w14:textId="77777777" w:rsidR="00CD12F4" w:rsidRDefault="00000000">
      <w:pPr>
        <w:pStyle w:val="ImageCaption"/>
      </w:pPr>
      <w:r>
        <w:t>Mixed controller request-processing timing. Points are repetition-level averages; the line is their three-value median and whiskers are their minimum and maximum.</w:t>
      </w:r>
    </w:p>
    <w:tbl>
      <w:tblPr>
        <w:tblStyle w:val="Table"/>
        <w:tblW w:w="0" w:type="auto"/>
        <w:jc w:val="center"/>
        <w:tblLook w:val="0600" w:firstRow="0" w:lastRow="0" w:firstColumn="0" w:lastColumn="0" w:noHBand="1" w:noVBand="1"/>
      </w:tblPr>
      <w:tblGrid>
        <w:gridCol w:w="9576"/>
      </w:tblGrid>
      <w:tr w:rsidR="00CD12F4" w14:paraId="51DAA511" w14:textId="77777777">
        <w:trPr>
          <w:jc w:val="center"/>
        </w:trPr>
        <w:tc>
          <w:tcPr>
            <w:tcW w:w="0" w:type="auto"/>
          </w:tcPr>
          <w:p w14:paraId="1578AEE8" w14:textId="77777777" w:rsidR="00CD12F4" w:rsidRDefault="00000000">
            <w:pPr>
              <w:pStyle w:val="Compact"/>
              <w:jc w:val="center"/>
            </w:pPr>
            <w:r>
              <w:t>Credential repository lookup timing. Points are repetition-level averages; the line is their three-value median and whiskers are their minimum and maximum.</w:t>
            </w:r>
          </w:p>
        </w:tc>
      </w:tr>
    </w:tbl>
    <w:p w14:paraId="4BFB4C26" w14:textId="77777777" w:rsidR="00CD12F4" w:rsidRDefault="00000000">
      <w:pPr>
        <w:pStyle w:val="ImageCaption"/>
      </w:pPr>
      <w:r>
        <w:t>Credential repository lookup timing. Points are repetition-level averages; the line is their three-value median and whiskers are their minimum and maximum.</w:t>
      </w:r>
    </w:p>
    <w:tbl>
      <w:tblPr>
        <w:tblStyle w:val="Table"/>
        <w:tblW w:w="0" w:type="auto"/>
        <w:jc w:val="center"/>
        <w:tblLook w:val="0600" w:firstRow="0" w:lastRow="0" w:firstColumn="0" w:lastColumn="0" w:noHBand="1" w:noVBand="1"/>
      </w:tblPr>
      <w:tblGrid>
        <w:gridCol w:w="9576"/>
      </w:tblGrid>
      <w:tr w:rsidR="00CD12F4" w14:paraId="1783D8DF" w14:textId="77777777">
        <w:trPr>
          <w:jc w:val="center"/>
        </w:trPr>
        <w:tc>
          <w:tcPr>
            <w:tcW w:w="0" w:type="auto"/>
          </w:tcPr>
          <w:p w14:paraId="02A538E2" w14:textId="77777777" w:rsidR="00CD12F4" w:rsidRDefault="00000000">
            <w:pPr>
              <w:pStyle w:val="Compact"/>
              <w:jc w:val="center"/>
            </w:pPr>
            <w:r>
              <w:t>Authorization decision timing. Points are repetition-level averages; the line is their three-value median and whiskers are their minimum and maximum.</w:t>
            </w:r>
          </w:p>
        </w:tc>
      </w:tr>
    </w:tbl>
    <w:p w14:paraId="3823A148" w14:textId="77777777" w:rsidR="00CD12F4" w:rsidRDefault="00000000">
      <w:pPr>
        <w:pStyle w:val="ImageCaption"/>
      </w:pPr>
      <w:r>
        <w:t>Authorization decision timing. Points are repetition-level averages; the line is their three-value median and whiskers are their minimum and maximum.</w:t>
      </w:r>
    </w:p>
    <w:p w14:paraId="49EF0F76" w14:textId="77777777" w:rsidR="00CD12F4" w:rsidRDefault="00000000">
      <w:pPr>
        <w:pStyle w:val="a0"/>
      </w:pPr>
      <w:r>
        <w:t xml:space="preserve">The figures and table describe one-host Python measurements using </w:t>
      </w:r>
      <w:r>
        <w:rPr>
          <w:rStyle w:val="VerbatimChar"/>
        </w:rPr>
        <w:t>time.perf_counter_ns</w:t>
      </w:r>
      <w:r>
        <w:t>. The mixed boundary includes controller request processing; the lookup boundary excludes repository construction; the authorization boundary excludes lookup. No cross-family ranking is valid. No statistical-significance claim is made. The data do not establish monotonic scaling, constant-time behavior, asymptotic complexity, a real-time bound, or hardware performance.</w:t>
      </w:r>
    </w:p>
    <w:p w14:paraId="73310691" w14:textId="77777777" w:rsidR="00CD12F4" w:rsidRDefault="00000000">
      <w:pPr>
        <w:pStyle w:val="2"/>
      </w:pPr>
      <w:bookmarkStart w:id="40" w:name="discussion"/>
      <w:bookmarkEnd w:id="36"/>
      <w:bookmarkEnd w:id="39"/>
      <w:r>
        <w:t>11. Discussion</w:t>
      </w:r>
    </w:p>
    <w:p w14:paraId="3AD5EDAD" w14:textId="77777777" w:rsidR="00CD12F4" w:rsidRDefault="00000000">
      <w:pPr>
        <w:pStyle w:val="3"/>
      </w:pPr>
      <w:bookmarkStart w:id="41" w:name="correctness-meaning"/>
      <w:r>
        <w:t>Correctness meaning</w:t>
      </w:r>
    </w:p>
    <w:p w14:paraId="3C0BC935" w14:textId="77777777" w:rsidR="00CD12F4" w:rsidRDefault="00000000">
      <w:pPr>
        <w:pStyle w:val="FirstParagraph"/>
      </w:pPr>
      <w:r>
        <w:t>The strongest result is complete reconciliation within the specified deterministic workloads. Every mixed request is accounted for by grant, denial, or invalid-frame outcome, and every denial is accounted for by its three configured reasons. The isolated lookup matrix contains the expected equal split of hits and misses with no mismatch. The isolated authorization matrix contains the expected grants, denials, and invalid-floor errors with no incorrect grant, incorrect denial, or other mismatch.</w:t>
      </w:r>
    </w:p>
    <w:p w14:paraId="2B32DB69" w14:textId="77777777" w:rsidR="00CD12F4" w:rsidRDefault="00000000">
      <w:pPr>
        <w:pStyle w:val="a0"/>
      </w:pPr>
      <w:r>
        <w:t>Together with the historical 976-test verification snapshot and complete required-requirement traceability, these results support the conclusion that the implemented Python model conforms to its accepted behavioral contracts for the tested inputs. They do not show that unobserved field populations have zero error, nor do they validate a reader, card, commercial controller, elevator, or safety installation.</w:t>
      </w:r>
    </w:p>
    <w:p w14:paraId="591806DC" w14:textId="77777777" w:rsidR="00CD12F4" w:rsidRDefault="00000000">
      <w:pPr>
        <w:pStyle w:val="3"/>
      </w:pPr>
      <w:bookmarkStart w:id="42" w:name="timing-observations"/>
      <w:bookmarkEnd w:id="41"/>
      <w:r>
        <w:lastRenderedPageBreak/>
        <w:t>Timing observations</w:t>
      </w:r>
    </w:p>
    <w:p w14:paraId="09CC1D36" w14:textId="77777777" w:rsidR="00CD12F4" w:rsidRDefault="00000000">
      <w:pPr>
        <w:pStyle w:val="FirstParagraph"/>
      </w:pPr>
      <w:r>
        <w:t>Variability is visible in all three operation families. The mixed median repetition-level averages for sizes 10, 100, 1,000, and 10,000 are 7,820.085, 7,032.656, 7,882.918, and 8,189.5002 ns per request. The lookup series is 297.496, 278.224, 292.728, and 351.938 ns per call. The authorization series is 590.139, 565.264, 616.682, and 614.437 ns per decision. None is monotonic across the four sizes. The 10,000-record lookup group has an observed repetition-average spread of 122.189 ns, larger than the smaller lookup groups.</w:t>
      </w:r>
    </w:p>
    <w:p w14:paraId="76895AAF" w14:textId="77777777" w:rsidR="00CD12F4" w:rsidRDefault="00000000">
      <w:pPr>
        <w:pStyle w:val="a0"/>
      </w:pPr>
      <w:r>
        <w:t>These observations do not by themselves diagnose a software defect or establish a causal relationship with repository size. Only three repetitions are available for each point, and the 10,000-record mixed group uses ten times as many calls per repetition as the smaller mixed groups. Raw per-call samples were not retained, so pooled medians, pooled percentiles, confidence intervals, and statistical-significance analysis are unavailable.</w:t>
      </w:r>
    </w:p>
    <w:p w14:paraId="0E68E303" w14:textId="77777777" w:rsidR="00CD12F4" w:rsidRDefault="00000000">
      <w:pPr>
        <w:pStyle w:val="a0"/>
      </w:pPr>
      <w:r>
        <w:t xml:space="preserve">The operation boundaries also answer different questions. Mixed </w:t>
      </w:r>
      <w:r>
        <w:rPr>
          <w:rStyle w:val="VerbatimChar"/>
        </w:rPr>
        <w:t>Controller.submit</w:t>
      </w:r>
      <w:r>
        <w:t xml:space="preserve"> includes validation, lookup, authorization, event handling, and response construction along the configured paths. Direct lookup measures an in-memory repository method, not persistent storage. Direct authorization excludes lookup. Comparing their numeric magnitudes as if they were interchangeable benchmarks would therefore be inappropriate.</w:t>
      </w:r>
    </w:p>
    <w:p w14:paraId="68D9B23E" w14:textId="77777777" w:rsidR="00CD12F4" w:rsidRDefault="00000000">
      <w:pPr>
        <w:pStyle w:val="3"/>
      </w:pPr>
      <w:bookmarkStart w:id="43" w:name="engineering-implication"/>
      <w:bookmarkEnd w:id="42"/>
      <w:r>
        <w:t>Engineering implication</w:t>
      </w:r>
    </w:p>
    <w:p w14:paraId="0297F1A8" w14:textId="77777777" w:rsidR="00CD12F4" w:rsidRDefault="00000000">
      <w:pPr>
        <w:pStyle w:val="FirstParagraph"/>
      </w:pPr>
      <w:r>
        <w:t>The experiments demonstrate that bounded host-software observations can be reproduced and reconciled for the selected model and constructed cases. Their value lies in transparency: workload sizes, repetition count, timer, call boundary, outcome counts, and limits are all explicit. They provide no performance threshold and cannot support statistical significance, complexity classification, hardware timing, real-time performance, field reliability, production readiness, safety certification, or commercial equivalence.</w:t>
      </w:r>
    </w:p>
    <w:p w14:paraId="1A1E7A8C" w14:textId="77777777" w:rsidR="00CD12F4" w:rsidRDefault="00000000">
      <w:pPr>
        <w:pStyle w:val="2"/>
      </w:pPr>
      <w:bookmarkStart w:id="44" w:name="limitations-and-validity-threats"/>
      <w:bookmarkEnd w:id="40"/>
      <w:bookmarkEnd w:id="43"/>
      <w:r>
        <w:t>12. Limitations and Validity Threats</w:t>
      </w:r>
    </w:p>
    <w:p w14:paraId="1E500F67" w14:textId="77777777" w:rsidR="00CD12F4" w:rsidRDefault="00000000">
      <w:pPr>
        <w:pStyle w:val="3"/>
      </w:pPr>
      <w:bookmarkStart w:id="45" w:name="product-and-literature-validity"/>
      <w:r>
        <w:t>Product and literature validity</w:t>
      </w:r>
    </w:p>
    <w:p w14:paraId="006B91ED" w14:textId="77777777" w:rsidR="00CD12F4" w:rsidRDefault="00000000">
      <w:pPr>
        <w:pStyle w:val="FirstParagraph"/>
      </w:pPr>
      <w:r>
        <w:t>The product record is limited to owner-supplied URL identification. Listing content, original capture, product imagery, markings, schematics, manufacturer documentation, and reproduction permission are unavailable. The commercial processor architecture, specific MCU, RFID frequencies and protocols, Wiegand behavior, electrical outputs, elevator interface, firmware architecture, and compliance status are therefore unknown. Absence of evidence is not evidence of a negative product property.</w:t>
      </w:r>
    </w:p>
    <w:p w14:paraId="39C9EAB8" w14:textId="77777777" w:rsidR="00CD12F4" w:rsidRDefault="00000000">
      <w:pPr>
        <w:pStyle w:val="a0"/>
      </w:pPr>
      <w:r>
        <w:t xml:space="preserve">The embedded literature is representative rather than product-specific. STM32F10xxx documentation applies to the devices it names; ARMv7-A/R documentation does not describe Cortex-M; the ARM developer guide is historical; and ARMADA 38x material is an organizational example. BALTECH documentation describes its own behavior rather than a universal electrical standard. NIST RFID material distinguishes general technology layers </w:t>
      </w:r>
      <w:r>
        <w:lastRenderedPageBreak/>
        <w:t>but cannot attribute LF, HF, or a protocol to the item. No authoritative physical elevator-integration source was available.</w:t>
      </w:r>
    </w:p>
    <w:p w14:paraId="123E6279" w14:textId="77777777" w:rsidR="00CD12F4" w:rsidRDefault="00000000">
      <w:pPr>
        <w:pStyle w:val="3"/>
      </w:pPr>
      <w:bookmarkStart w:id="46" w:name="construct-and-internal-validity"/>
      <w:bookmarkEnd w:id="45"/>
      <w:r>
        <w:t>Construct and internal validity</w:t>
      </w:r>
    </w:p>
    <w:p w14:paraId="7E5481C9" w14:textId="77777777" w:rsidR="00CD12F4" w:rsidRDefault="00000000">
      <w:pPr>
        <w:pStyle w:val="FirstParagraph"/>
      </w:pPr>
      <w:r>
        <w:t xml:space="preserve">The implemented object is a software abstraction. </w:t>
      </w:r>
      <w:r>
        <w:rPr>
          <w:rStyle w:val="VerbatimChar"/>
        </w:rPr>
        <w:t>LF</w:t>
      </w:r>
      <w:r>
        <w:t xml:space="preserve"> and </w:t>
      </w:r>
      <w:r>
        <w:rPr>
          <w:rStyle w:val="VerbatimChar"/>
        </w:rPr>
        <w:t>HF</w:t>
      </w:r>
      <w:r>
        <w:t xml:space="preserve"> are logical labels, the frame allocation is project-specific, the credential repository is in memory, floor outputs are Booleans, and time is simulated. These constructs permit deterministic verification but omit RF acquisition, electrical behavior, physical actuation, communications faults, persistent storage, and environmental effects.</w:t>
      </w:r>
    </w:p>
    <w:p w14:paraId="0B040751" w14:textId="77777777" w:rsidR="00CD12F4" w:rsidRDefault="00000000">
      <w:pPr>
        <w:pStyle w:val="a0"/>
      </w:pPr>
      <w:r>
        <w:t>The correctness workloads are deterministic and constructed from accepted configurations. Exact reconciliation establishes behavior for those cases, not an empirical field distribution. Mixed workloads contain unequal operation counts at the largest size. Branch coverage was not independently available, although requirement and test-case traceability were reconciled. Optional functionality was deliberately deferred and is not covered as implemented behavior.</w:t>
      </w:r>
    </w:p>
    <w:p w14:paraId="34995551" w14:textId="77777777" w:rsidR="00CD12F4" w:rsidRDefault="00000000">
      <w:pPr>
        <w:pStyle w:val="3"/>
      </w:pPr>
      <w:bookmarkStart w:id="47" w:name="performance-validity"/>
      <w:bookmarkEnd w:id="46"/>
      <w:r>
        <w:t>Performance validity</w:t>
      </w:r>
    </w:p>
    <w:p w14:paraId="796AC250" w14:textId="77777777" w:rsidR="00CD12F4" w:rsidRDefault="00000000">
      <w:pPr>
        <w:pStyle w:val="FirstParagraph"/>
      </w:pPr>
      <w:r>
        <w:t>Timing evidence comes from one recorded host and exactly three measured repetitions per operation and size. The retained records contain repetition aggregates rather than raw per-call samples. Accordingly, pooled request statistics, confidence intervals, and statistical-significance analysis are unavailable. Host scheduling, interpreter state, caching, and other uncontrolled effects may contribute to ordinary variation, but the accepted evidence does not identify a specific cause.</w:t>
      </w:r>
    </w:p>
    <w:p w14:paraId="0FAD789E" w14:textId="77777777" w:rsidR="00CD12F4" w:rsidRDefault="00000000">
      <w:pPr>
        <w:pStyle w:val="a0"/>
      </w:pPr>
      <w:r>
        <w:t>The mixed, lookup, and authorization boundaries differ. Repository construction is excluded from direct lookup; credential lookup is excluded from direct authorization; mixed processing covers a broader controller path. The operation families must not be ranked against one another. The observed non-monotonic points do not prove monotonic scaling, degradation, constant-time behavior, or asymptotic complexity.</w:t>
      </w:r>
    </w:p>
    <w:p w14:paraId="0CF8FB20" w14:textId="77777777" w:rsidR="00CD12F4" w:rsidRDefault="00000000">
      <w:pPr>
        <w:pStyle w:val="3"/>
      </w:pPr>
      <w:bookmarkStart w:id="48" w:name="external-and-deployment-validity"/>
      <w:bookmarkEnd w:id="47"/>
      <w:r>
        <w:t>External and deployment validity</w:t>
      </w:r>
    </w:p>
    <w:p w14:paraId="46C6B72B" w14:textId="77777777" w:rsidR="00CD12F4" w:rsidRDefault="00000000">
      <w:pPr>
        <w:pStyle w:val="FirstParagraph"/>
      </w:pPr>
      <w:r>
        <w:t>No physical reader, RFID card, controller board, output circuit, elevator interface, or installation was tested. There was no field testing, physical fault study, real-time validation, or multi-host performance campaign. The model contains no evidence for physical fail-safe or fail-secure behavior, safety certification, reliability in service, production readiness, or equivalence to a commercial product. The abstract all-inactive reset state is a software invariant only; it is not a physical safety conclusion.</w:t>
      </w:r>
    </w:p>
    <w:p w14:paraId="506DBD78" w14:textId="77777777" w:rsidR="00CD12F4" w:rsidRDefault="00000000">
      <w:pPr>
        <w:pStyle w:val="2"/>
      </w:pPr>
      <w:bookmarkStart w:id="49" w:name="conclusions-and-future-work"/>
      <w:bookmarkEnd w:id="44"/>
      <w:bookmarkEnd w:id="48"/>
      <w:r>
        <w:lastRenderedPageBreak/>
        <w:t>13. Conclusions and Future Work</w:t>
      </w:r>
    </w:p>
    <w:p w14:paraId="1D0A7E10" w14:textId="77777777" w:rsidR="00CD12F4" w:rsidRDefault="00000000">
      <w:pPr>
        <w:pStyle w:val="3"/>
      </w:pPr>
      <w:bookmarkStart w:id="50" w:name="conclusions"/>
      <w:r>
        <w:t>Conclusions</w:t>
      </w:r>
    </w:p>
    <w:p w14:paraId="3692DAA5" w14:textId="77777777" w:rsidR="00CD12F4" w:rsidRDefault="00000000">
      <w:pPr>
        <w:pStyle w:val="FirstParagraph"/>
      </w:pPr>
      <w:r>
        <w:t>The project produced a deterministic Python software reference model for a defined 16-floor access-authorization boundary. It formalized a project-specific credential frame, composite-key repository, floor-mask decision, single logical timed output, busy precedence, event logging, simulated clock, configuration validation, and reset/watchdog behavior. All 60 required requirements in the accepted scope were verified; six optional requirements remain deferred. The accepted SP-06 implementation milestone recorded 976 collected and passed tests.</w:t>
      </w:r>
    </w:p>
    <w:p w14:paraId="3ADAB393" w14:textId="77777777" w:rsidR="00CD12F4" w:rsidRDefault="00000000">
      <w:pPr>
        <w:pStyle w:val="a0"/>
      </w:pPr>
      <w:r>
        <w:t>The SP-07 quantitative work reconciled 39,000 mixed controller requests and 24,000 isolated operations exactly against the constructed expected outcomes. Accepted tables and figures reproduce the source aggregates, and an independent review found no blocking discrepancy. The timing observations remain bounded to one host, three repetition aggregates per group, and distinct operation definitions. The project also produced reusable requirement, traceability, test, result, figure, reproducibility, and reporting artifacts.</w:t>
      </w:r>
    </w:p>
    <w:p w14:paraId="7327DAC0" w14:textId="77777777" w:rsidR="00CD12F4" w:rsidRDefault="00000000">
      <w:pPr>
        <w:pStyle w:val="a0"/>
      </w:pPr>
      <w:r>
        <w:t>These conclusions apply only to the accepted software model and controlled evidence. They do not assert physical validation, real-time performance, field reliability, production readiness, safety certification, or commercial equivalence.</w:t>
      </w:r>
    </w:p>
    <w:p w14:paraId="5AFFFB79" w14:textId="77777777" w:rsidR="00CD12F4" w:rsidRDefault="00000000">
      <w:pPr>
        <w:pStyle w:val="3"/>
      </w:pPr>
      <w:bookmarkStart w:id="51" w:name="future-work"/>
      <w:bookmarkEnd w:id="50"/>
      <w:r>
        <w:t>Future work</w:t>
      </w:r>
    </w:p>
    <w:p w14:paraId="295F3763" w14:textId="77777777" w:rsidR="00CD12F4" w:rsidRDefault="00000000">
      <w:pPr>
        <w:pStyle w:val="FirstParagraph"/>
      </w:pPr>
      <w:r>
        <w:t>Future evidence work should first seek an authoritative product capture, original imagery with provenance and reproduction permission, and manufacturer or seller technical documentation. Additional authoritative RFID, protocol, physical-integration, and application-specific safety literature would be required before expanding the corresponding claims.</w:t>
      </w:r>
    </w:p>
    <w:p w14:paraId="44DC900E" w14:textId="77777777" w:rsidR="00CD12F4" w:rsidRDefault="00000000">
      <w:pPr>
        <w:pStyle w:val="a0"/>
      </w:pPr>
      <w:r>
        <w:t>Future experimental work could add more repetitions, larger sample sets, raw per-call retention, and repeated multi-host studies under separately approved protocols. A persistent local credential-storage experiment could be evaluated as a new operation boundary. Deferred optional requirements—additional frame profiles, authorization policies, interfaces, and experiment sizes—could be prioritized after human review.</w:t>
      </w:r>
    </w:p>
    <w:p w14:paraId="5C8F40AD" w14:textId="77777777" w:rsidR="00CD12F4" w:rsidRDefault="00000000">
      <w:pPr>
        <w:pStyle w:val="a0"/>
      </w:pPr>
      <w:r>
        <w:t>Any physical reader, electrical interface, elevator integration study, or controlled hardware implementation would require a separately authorized scope, appropriate engineering and safety expertise, new requirements, new evidence, and new validation. Such work has not been completed in this project.</w:t>
      </w:r>
    </w:p>
    <w:p w14:paraId="7EB113A5" w14:textId="77777777" w:rsidR="00CD12F4" w:rsidRDefault="00000000">
      <w:pPr>
        <w:pStyle w:val="2"/>
      </w:pPr>
      <w:bookmarkStart w:id="52" w:name="references"/>
      <w:bookmarkEnd w:id="49"/>
      <w:bookmarkEnd w:id="51"/>
      <w:r>
        <w:lastRenderedPageBreak/>
        <w:t>14. References</w:t>
      </w:r>
    </w:p>
    <w:p w14:paraId="6A4BA93C" w14:textId="77777777" w:rsidR="00CD12F4" w:rsidRDefault="00000000">
      <w:pPr>
        <w:pStyle w:val="FirstParagraph"/>
      </w:pPr>
      <w:r>
        <w:t xml:space="preserve">[1] T. Karygiannis, B. Eydt, G. Barber, L. Bunn, and T. Phillips, </w:t>
      </w:r>
      <w:r>
        <w:rPr>
          <w:i/>
          <w:iCs/>
        </w:rPr>
        <w:t>Guidelines for Securing Radio Frequency Identification (RFID) Systems</w:t>
      </w:r>
      <w:r>
        <w:t>, NIST Special Publication 800-98, Apr. 2007, doi: 10.6028/NIST.SP.800-98.</w:t>
      </w:r>
    </w:p>
    <w:p w14:paraId="73A84C38" w14:textId="77777777" w:rsidR="00CD12F4" w:rsidRDefault="00000000">
      <w:pPr>
        <w:pStyle w:val="a0"/>
      </w:pPr>
      <w:r>
        <w:t>[2] BALTECH, “Wiegand specification,” official manufacturer documentation for BALTECH reader firmware. [Online]. Available: https://docs.baltech.de/developers/wiegand.html. Accessed: Jul. 29, 2026.</w:t>
      </w:r>
    </w:p>
    <w:p w14:paraId="1A80EFFD" w14:textId="77777777" w:rsidR="00CD12F4" w:rsidRDefault="00000000">
      <w:pPr>
        <w:pStyle w:val="a0"/>
      </w:pPr>
      <w:r>
        <w:t xml:space="preserve">[3] Joint Task Force, </w:t>
      </w:r>
      <w:r>
        <w:rPr>
          <w:i/>
          <w:iCs/>
        </w:rPr>
        <w:t>Security and Privacy Controls for Information Systems and Organizations</w:t>
      </w:r>
      <w:r>
        <w:t>, NIST Special Publication 800-53, Revision 5, Sep. 2020, including updates as of Dec. 10, 2020, Release 5.1, doi: 10.6028/NIST.SP.800-53r5.</w:t>
      </w:r>
    </w:p>
    <w:p w14:paraId="5F838943" w14:textId="77777777" w:rsidR="00CD12F4" w:rsidRDefault="00000000">
      <w:pPr>
        <w:pStyle w:val="a0"/>
      </w:pPr>
      <w:r>
        <w:t>[4] National Aeronautics and Space Administration, “NASA Software Engineering Handbook, Version D,” SWE-052, SWE-062, SWE-065, and SWE-068 guidance. [Online]. Available: https://swehb.nasa.gov/. Accessed: Jul. 29, 2026.</w:t>
      </w:r>
    </w:p>
    <w:p w14:paraId="5435ACB3" w14:textId="77777777" w:rsidR="00CD12F4" w:rsidRDefault="00000000">
      <w:pPr>
        <w:pStyle w:val="a0"/>
      </w:pPr>
      <w:r>
        <w:t xml:space="preserve">[5] STMicroelectronics, </w:t>
      </w:r>
      <w:r>
        <w:rPr>
          <w:i/>
          <w:iCs/>
        </w:rPr>
        <w:t>STM32F101xx, STM32F102xx, STM32F103xx, STM32F105xx and STM32F107xx Advanced ARM-Based 32-Bit MCUs</w:t>
      </w:r>
      <w:r>
        <w:t>, RM0008, DocID13902 Rev. 15, Jun. 2014.</w:t>
      </w:r>
    </w:p>
    <w:p w14:paraId="2A2F354E" w14:textId="77777777" w:rsidR="00CD12F4" w:rsidRDefault="00000000">
      <w:pPr>
        <w:pStyle w:val="a0"/>
      </w:pPr>
      <w:r>
        <w:t xml:space="preserve">[6] ARM Limited, </w:t>
      </w:r>
      <w:r>
        <w:rPr>
          <w:i/>
          <w:iCs/>
        </w:rPr>
        <w:t>ARM Developer Suite Developer Guide</w:t>
      </w:r>
      <w:r>
        <w:t>, ARM DUI 0056D, Version 1.2, Issue D, Nov. 2001.</w:t>
      </w:r>
    </w:p>
    <w:p w14:paraId="701CC8D9" w14:textId="77777777" w:rsidR="00CD12F4" w:rsidRDefault="00000000">
      <w:pPr>
        <w:pStyle w:val="a0"/>
      </w:pPr>
      <w:r>
        <w:t xml:space="preserve">[7] ARM Limited, </w:t>
      </w:r>
      <w:r>
        <w:rPr>
          <w:i/>
          <w:iCs/>
        </w:rPr>
        <w:t>ARM Architecture Reference Manual: ARMv7-A and ARMv7-R Edition</w:t>
      </w:r>
      <w:r>
        <w:t>, ARM DDI 0406C.c, ID051414, 2014.</w:t>
      </w:r>
    </w:p>
    <w:p w14:paraId="1B523308" w14:textId="77777777" w:rsidR="00CD12F4" w:rsidRDefault="00000000">
      <w:pPr>
        <w:pStyle w:val="a0"/>
      </w:pPr>
      <w:r>
        <w:t xml:space="preserve">[8] Marvell, </w:t>
      </w:r>
      <w:r>
        <w:rPr>
          <w:i/>
          <w:iCs/>
        </w:rPr>
        <w:t>ARMADA 38x Family Functional Specifications—Unrestricted</w:t>
      </w:r>
      <w:r>
        <w:t>, MV-S109094-U0 Rev. A, preliminary, Nov. 25, 2015.</w:t>
      </w:r>
    </w:p>
    <w:p w14:paraId="3B7C79AC" w14:textId="77777777" w:rsidR="00CD12F4" w:rsidRDefault="00000000">
      <w:pPr>
        <w:pStyle w:val="2"/>
      </w:pPr>
      <w:bookmarkStart w:id="53" w:name="appendices"/>
      <w:bookmarkEnd w:id="52"/>
      <w:r>
        <w:t>15. Appendices</w:t>
      </w:r>
    </w:p>
    <w:p w14:paraId="31548511" w14:textId="77777777" w:rsidR="00CD12F4" w:rsidRDefault="00000000">
      <w:pPr>
        <w:pStyle w:val="3"/>
      </w:pPr>
      <w:bookmarkStart w:id="54" w:name="X7558298b875617ce0347fa473976768d103a421"/>
      <w:r>
        <w:t>Appendix A — Requirement and test traceability summary</w:t>
      </w:r>
    </w:p>
    <w:p w14:paraId="12819EE4" w14:textId="77777777" w:rsidR="00CD12F4" w:rsidRDefault="00000000">
      <w:pPr>
        <w:pStyle w:val="FirstParagraph"/>
      </w:pPr>
      <w:r>
        <w:t xml:space="preserve">The canonical requirement/test mapping is </w:t>
      </w:r>
      <w:r>
        <w:rPr>
          <w:rStyle w:val="VerbatimChar"/>
        </w:rPr>
        <w:t>docs/requirements_to_test_traceability.csv</w:t>
      </w:r>
      <w:r>
        <w:t xml:space="preserve">. It contains 66 rows: 60 required requirements with verified status and six optional requirements with deferred status. The test inventory is </w:t>
      </w:r>
      <w:r>
        <w:rPr>
          <w:rStyle w:val="VerbatimChar"/>
        </w:rPr>
        <w:t>docs/test_case_inventory.csv</w:t>
      </w:r>
      <w:r>
        <w:t xml:space="preserve">; accepted execution records are in </w:t>
      </w:r>
      <w:r>
        <w:rPr>
          <w:rStyle w:val="VerbatimChar"/>
        </w:rPr>
        <w:t>audit/validation/subproject_06_11_verification_records.csv</w:t>
      </w:r>
      <w:r>
        <w:t>. These artifacts support the report but do not replace the requirements and verification explanations in the main text.</w:t>
      </w:r>
    </w:p>
    <w:tbl>
      <w:tblPr>
        <w:tblStyle w:val="Table"/>
        <w:tblW w:w="5000" w:type="pct"/>
        <w:tblLayout w:type="fixed"/>
        <w:tblLook w:val="0020" w:firstRow="1" w:lastRow="0" w:firstColumn="0" w:lastColumn="0" w:noHBand="0" w:noVBand="0"/>
      </w:tblPr>
      <w:tblGrid>
        <w:gridCol w:w="2873"/>
        <w:gridCol w:w="3830"/>
        <w:gridCol w:w="2873"/>
      </w:tblGrid>
      <w:tr w:rsidR="00CD12F4" w14:paraId="590E7025" w14:textId="77777777" w:rsidTr="00CD12F4">
        <w:trPr>
          <w:cnfStyle w:val="100000000000" w:firstRow="1" w:lastRow="0" w:firstColumn="0" w:lastColumn="0" w:oddVBand="0" w:evenVBand="0" w:oddHBand="0" w:evenHBand="0" w:firstRowFirstColumn="0" w:firstRowLastColumn="0" w:lastRowFirstColumn="0" w:lastRowLastColumn="0"/>
          <w:tblHeader/>
        </w:trPr>
        <w:tc>
          <w:tcPr>
            <w:tcW w:w="2376" w:type="dxa"/>
          </w:tcPr>
          <w:p w14:paraId="11B94FC5" w14:textId="77777777" w:rsidR="00CD12F4" w:rsidRDefault="00000000">
            <w:pPr>
              <w:pStyle w:val="Compact"/>
            </w:pPr>
            <w:r>
              <w:t>Category</w:t>
            </w:r>
          </w:p>
        </w:tc>
        <w:tc>
          <w:tcPr>
            <w:tcW w:w="3168" w:type="dxa"/>
          </w:tcPr>
          <w:p w14:paraId="0D360239" w14:textId="77777777" w:rsidR="00CD12F4" w:rsidRDefault="00000000">
            <w:pPr>
              <w:pStyle w:val="Compact"/>
              <w:jc w:val="right"/>
            </w:pPr>
            <w:r>
              <w:t>Status</w:t>
            </w:r>
          </w:p>
        </w:tc>
        <w:tc>
          <w:tcPr>
            <w:tcW w:w="2376" w:type="dxa"/>
          </w:tcPr>
          <w:p w14:paraId="6C000D63" w14:textId="77777777" w:rsidR="00CD12F4" w:rsidRDefault="00000000">
            <w:pPr>
              <w:pStyle w:val="Compact"/>
            </w:pPr>
            <w:r>
              <w:t>Canonical evidence</w:t>
            </w:r>
          </w:p>
        </w:tc>
      </w:tr>
      <w:tr w:rsidR="00CD12F4" w14:paraId="7EE1833D" w14:textId="77777777">
        <w:tc>
          <w:tcPr>
            <w:tcW w:w="2376" w:type="dxa"/>
          </w:tcPr>
          <w:p w14:paraId="19F12BE9" w14:textId="77777777" w:rsidR="00CD12F4" w:rsidRDefault="00000000">
            <w:pPr>
              <w:pStyle w:val="Compact"/>
            </w:pPr>
            <w:r>
              <w:t>Required requirements</w:t>
            </w:r>
          </w:p>
        </w:tc>
        <w:tc>
          <w:tcPr>
            <w:tcW w:w="3168" w:type="dxa"/>
          </w:tcPr>
          <w:p w14:paraId="542E55C5" w14:textId="77777777" w:rsidR="00CD12F4" w:rsidRDefault="00000000">
            <w:pPr>
              <w:pStyle w:val="Compact"/>
              <w:jc w:val="right"/>
            </w:pPr>
            <w:r>
              <w:t>60 verified</w:t>
            </w:r>
          </w:p>
        </w:tc>
        <w:tc>
          <w:tcPr>
            <w:tcW w:w="2376" w:type="dxa"/>
          </w:tcPr>
          <w:p w14:paraId="109D5563" w14:textId="77777777" w:rsidR="00CD12F4" w:rsidRDefault="00000000">
            <w:pPr>
              <w:pStyle w:val="Compact"/>
            </w:pPr>
            <w:r>
              <w:rPr>
                <w:rStyle w:val="VerbatimChar"/>
              </w:rPr>
              <w:t>docs/requirements_to_test_traceability.csv</w:t>
            </w:r>
          </w:p>
        </w:tc>
      </w:tr>
      <w:tr w:rsidR="00CD12F4" w14:paraId="070C8CFC" w14:textId="77777777">
        <w:tc>
          <w:tcPr>
            <w:tcW w:w="2376" w:type="dxa"/>
          </w:tcPr>
          <w:p w14:paraId="2C74B7EB" w14:textId="77777777" w:rsidR="00CD12F4" w:rsidRDefault="00000000">
            <w:pPr>
              <w:pStyle w:val="Compact"/>
            </w:pPr>
            <w:r>
              <w:t>Optional requirements</w:t>
            </w:r>
          </w:p>
        </w:tc>
        <w:tc>
          <w:tcPr>
            <w:tcW w:w="3168" w:type="dxa"/>
          </w:tcPr>
          <w:p w14:paraId="14C0767C" w14:textId="77777777" w:rsidR="00CD12F4" w:rsidRDefault="00000000">
            <w:pPr>
              <w:pStyle w:val="Compact"/>
              <w:jc w:val="right"/>
            </w:pPr>
            <w:r>
              <w:t>6 deferred</w:t>
            </w:r>
          </w:p>
        </w:tc>
        <w:tc>
          <w:tcPr>
            <w:tcW w:w="2376" w:type="dxa"/>
          </w:tcPr>
          <w:p w14:paraId="368E2ACB" w14:textId="77777777" w:rsidR="00CD12F4" w:rsidRDefault="00000000">
            <w:pPr>
              <w:pStyle w:val="Compact"/>
            </w:pPr>
            <w:r>
              <w:rPr>
                <w:rStyle w:val="VerbatimChar"/>
              </w:rPr>
              <w:t>docs/requirements_to_</w:t>
            </w:r>
            <w:r>
              <w:rPr>
                <w:rStyle w:val="VerbatimChar"/>
              </w:rPr>
              <w:lastRenderedPageBreak/>
              <w:t>test_traceability.csv</w:t>
            </w:r>
          </w:p>
        </w:tc>
      </w:tr>
      <w:tr w:rsidR="00CD12F4" w14:paraId="1718ECBB" w14:textId="77777777">
        <w:tc>
          <w:tcPr>
            <w:tcW w:w="2376" w:type="dxa"/>
          </w:tcPr>
          <w:p w14:paraId="07894DDB" w14:textId="77777777" w:rsidR="00CD12F4" w:rsidRDefault="00000000">
            <w:pPr>
              <w:pStyle w:val="Compact"/>
            </w:pPr>
            <w:r>
              <w:lastRenderedPageBreak/>
              <w:t>Implemented required/MVP inventory rows</w:t>
            </w:r>
          </w:p>
        </w:tc>
        <w:tc>
          <w:tcPr>
            <w:tcW w:w="3168" w:type="dxa"/>
          </w:tcPr>
          <w:p w14:paraId="397C87C7" w14:textId="77777777" w:rsidR="00CD12F4" w:rsidRDefault="00000000">
            <w:pPr>
              <w:pStyle w:val="Compact"/>
              <w:jc w:val="right"/>
            </w:pPr>
            <w:r>
              <w:t>94</w:t>
            </w:r>
          </w:p>
        </w:tc>
        <w:tc>
          <w:tcPr>
            <w:tcW w:w="2376" w:type="dxa"/>
          </w:tcPr>
          <w:p w14:paraId="7971A020" w14:textId="77777777" w:rsidR="00CD12F4" w:rsidRDefault="00000000">
            <w:pPr>
              <w:pStyle w:val="Compact"/>
            </w:pPr>
            <w:r>
              <w:rPr>
                <w:rStyle w:val="VerbatimChar"/>
              </w:rPr>
              <w:t>docs/test_case_inventory.csv</w:t>
            </w:r>
          </w:p>
        </w:tc>
      </w:tr>
      <w:tr w:rsidR="00CD12F4" w14:paraId="19E58B69" w14:textId="77777777">
        <w:tc>
          <w:tcPr>
            <w:tcW w:w="2376" w:type="dxa"/>
          </w:tcPr>
          <w:p w14:paraId="323E7436" w14:textId="77777777" w:rsidR="00CD12F4" w:rsidRDefault="00000000">
            <w:pPr>
              <w:pStyle w:val="Compact"/>
            </w:pPr>
            <w:r>
              <w:t>Designed optional inventory rows</w:t>
            </w:r>
          </w:p>
        </w:tc>
        <w:tc>
          <w:tcPr>
            <w:tcW w:w="3168" w:type="dxa"/>
          </w:tcPr>
          <w:p w14:paraId="20FD10E3" w14:textId="77777777" w:rsidR="00CD12F4" w:rsidRDefault="00000000">
            <w:pPr>
              <w:pStyle w:val="Compact"/>
              <w:jc w:val="right"/>
            </w:pPr>
            <w:r>
              <w:t>6</w:t>
            </w:r>
          </w:p>
        </w:tc>
        <w:tc>
          <w:tcPr>
            <w:tcW w:w="2376" w:type="dxa"/>
          </w:tcPr>
          <w:p w14:paraId="277DA311" w14:textId="77777777" w:rsidR="00CD12F4" w:rsidRDefault="00000000">
            <w:pPr>
              <w:pStyle w:val="Compact"/>
            </w:pPr>
            <w:r>
              <w:rPr>
                <w:rStyle w:val="VerbatimChar"/>
              </w:rPr>
              <w:t>docs/test_case_inventory.csv</w:t>
            </w:r>
          </w:p>
        </w:tc>
      </w:tr>
      <w:tr w:rsidR="00CD12F4" w14:paraId="13D06741" w14:textId="77777777">
        <w:tc>
          <w:tcPr>
            <w:tcW w:w="2376" w:type="dxa"/>
          </w:tcPr>
          <w:p w14:paraId="1621F285" w14:textId="77777777" w:rsidR="00CD12F4" w:rsidRDefault="00000000">
            <w:pPr>
              <w:pStyle w:val="Compact"/>
            </w:pPr>
            <w:r>
              <w:t>Historical implementation verification</w:t>
            </w:r>
          </w:p>
        </w:tc>
        <w:tc>
          <w:tcPr>
            <w:tcW w:w="3168" w:type="dxa"/>
          </w:tcPr>
          <w:p w14:paraId="2F6194B6" w14:textId="77777777" w:rsidR="00CD12F4" w:rsidRDefault="00000000">
            <w:pPr>
              <w:pStyle w:val="Compact"/>
              <w:jc w:val="right"/>
            </w:pPr>
            <w:r>
              <w:t>976 passed of 976 collected</w:t>
            </w:r>
          </w:p>
        </w:tc>
        <w:tc>
          <w:tcPr>
            <w:tcW w:w="2376" w:type="dxa"/>
          </w:tcPr>
          <w:p w14:paraId="4D92CD07" w14:textId="77777777" w:rsidR="00CD12F4" w:rsidRDefault="00000000">
            <w:pPr>
              <w:pStyle w:val="Compact"/>
            </w:pPr>
            <w:r>
              <w:rPr>
                <w:rStyle w:val="VerbatimChar"/>
              </w:rPr>
              <w:t>audit/validation/subproject_06_11_verification_records.csv</w:t>
            </w:r>
          </w:p>
        </w:tc>
      </w:tr>
    </w:tbl>
    <w:p w14:paraId="3D15D6B2" w14:textId="77777777" w:rsidR="00CD12F4" w:rsidRDefault="00000000">
      <w:pPr>
        <w:pStyle w:val="3"/>
      </w:pPr>
      <w:bookmarkStart w:id="55" w:name="X8468a1f5e1eccf38adebc89d4aab76101d38c77"/>
      <w:bookmarkEnd w:id="54"/>
      <w:r>
        <w:t>Appendix B — Experiment configuration summary</w:t>
      </w:r>
    </w:p>
    <w:tbl>
      <w:tblPr>
        <w:tblStyle w:val="Table"/>
        <w:tblW w:w="5000" w:type="pct"/>
        <w:tblLayout w:type="fixed"/>
        <w:tblLook w:val="0020" w:firstRow="1" w:lastRow="0" w:firstColumn="0" w:lastColumn="0" w:noHBand="0" w:noVBand="0"/>
      </w:tblPr>
      <w:tblGrid>
        <w:gridCol w:w="1437"/>
        <w:gridCol w:w="1437"/>
        <w:gridCol w:w="1915"/>
        <w:gridCol w:w="1436"/>
        <w:gridCol w:w="1915"/>
        <w:gridCol w:w="1436"/>
      </w:tblGrid>
      <w:tr w:rsidR="00CD12F4" w14:paraId="39BDB1D4" w14:textId="77777777" w:rsidTr="00CD12F4">
        <w:trPr>
          <w:cnfStyle w:val="100000000000" w:firstRow="1" w:lastRow="0" w:firstColumn="0" w:lastColumn="0" w:oddVBand="0" w:evenVBand="0" w:oddHBand="0" w:evenHBand="0" w:firstRowFirstColumn="0" w:firstRowLastColumn="0" w:lastRowFirstColumn="0" w:lastRowLastColumn="0"/>
          <w:tblHeader/>
        </w:trPr>
        <w:tc>
          <w:tcPr>
            <w:tcW w:w="1188" w:type="dxa"/>
          </w:tcPr>
          <w:p w14:paraId="09DA3958" w14:textId="77777777" w:rsidR="00CD12F4" w:rsidRDefault="00000000">
            <w:pPr>
              <w:pStyle w:val="Compact"/>
            </w:pPr>
            <w:r>
              <w:t>Experiment family</w:t>
            </w:r>
          </w:p>
        </w:tc>
        <w:tc>
          <w:tcPr>
            <w:tcW w:w="1188" w:type="dxa"/>
          </w:tcPr>
          <w:p w14:paraId="13D68DCF" w14:textId="77777777" w:rsidR="00CD12F4" w:rsidRDefault="00000000">
            <w:pPr>
              <w:pStyle w:val="Compact"/>
            </w:pPr>
            <w:r>
              <w:t>Configuration</w:t>
            </w:r>
          </w:p>
        </w:tc>
        <w:tc>
          <w:tcPr>
            <w:tcW w:w="1584" w:type="dxa"/>
          </w:tcPr>
          <w:p w14:paraId="290AF174" w14:textId="77777777" w:rsidR="00CD12F4" w:rsidRDefault="00000000">
            <w:pPr>
              <w:pStyle w:val="Compact"/>
              <w:jc w:val="right"/>
            </w:pPr>
            <w:r>
              <w:t>Seed</w:t>
            </w:r>
          </w:p>
        </w:tc>
        <w:tc>
          <w:tcPr>
            <w:tcW w:w="1188" w:type="dxa"/>
          </w:tcPr>
          <w:p w14:paraId="23DDABE9" w14:textId="77777777" w:rsidR="00CD12F4" w:rsidRDefault="00000000">
            <w:pPr>
              <w:pStyle w:val="Compact"/>
            </w:pPr>
            <w:r>
              <w:t>Sizes</w:t>
            </w:r>
          </w:p>
        </w:tc>
        <w:tc>
          <w:tcPr>
            <w:tcW w:w="1584" w:type="dxa"/>
          </w:tcPr>
          <w:p w14:paraId="0A18C90A" w14:textId="77777777" w:rsidR="00CD12F4" w:rsidRDefault="00000000">
            <w:pPr>
              <w:pStyle w:val="Compact"/>
              <w:jc w:val="right"/>
            </w:pPr>
            <w:r>
              <w:t>Repetitions</w:t>
            </w:r>
          </w:p>
        </w:tc>
        <w:tc>
          <w:tcPr>
            <w:tcW w:w="1188" w:type="dxa"/>
          </w:tcPr>
          <w:p w14:paraId="73E52B5E" w14:textId="77777777" w:rsidR="00CD12F4" w:rsidRDefault="00000000">
            <w:pPr>
              <w:pStyle w:val="Compact"/>
            </w:pPr>
            <w:r>
              <w:t>Boundary</w:t>
            </w:r>
          </w:p>
        </w:tc>
      </w:tr>
      <w:tr w:rsidR="00CD12F4" w14:paraId="7096148D" w14:textId="77777777">
        <w:tc>
          <w:tcPr>
            <w:tcW w:w="1188" w:type="dxa"/>
          </w:tcPr>
          <w:p w14:paraId="3D5BF572" w14:textId="77777777" w:rsidR="00CD12F4" w:rsidRDefault="00000000">
            <w:pPr>
              <w:pStyle w:val="Compact"/>
            </w:pPr>
            <w:r>
              <w:t>Mixed controller</w:t>
            </w:r>
          </w:p>
        </w:tc>
        <w:tc>
          <w:tcPr>
            <w:tcW w:w="1188" w:type="dxa"/>
          </w:tcPr>
          <w:p w14:paraId="0BE3F1AE" w14:textId="77777777" w:rsidR="00CD12F4" w:rsidRDefault="00000000">
            <w:pPr>
              <w:pStyle w:val="Compact"/>
            </w:pPr>
            <w:r>
              <w:rPr>
                <w:rStyle w:val="VerbatimChar"/>
              </w:rPr>
              <w:t>experiments/scalability_config.json</w:t>
            </w:r>
          </w:p>
        </w:tc>
        <w:tc>
          <w:tcPr>
            <w:tcW w:w="1584" w:type="dxa"/>
          </w:tcPr>
          <w:p w14:paraId="42BB5CD4" w14:textId="77777777" w:rsidR="00CD12F4" w:rsidRDefault="00000000">
            <w:pPr>
              <w:pStyle w:val="Compact"/>
              <w:jc w:val="right"/>
            </w:pPr>
            <w:r>
              <w:t>260516</w:t>
            </w:r>
          </w:p>
        </w:tc>
        <w:tc>
          <w:tcPr>
            <w:tcW w:w="1188" w:type="dxa"/>
          </w:tcPr>
          <w:p w14:paraId="28E508D5" w14:textId="77777777" w:rsidR="00CD12F4" w:rsidRDefault="00000000">
            <w:pPr>
              <w:pStyle w:val="Compact"/>
            </w:pPr>
            <w:r>
              <w:t>10; 100; 1,000; 10,000</w:t>
            </w:r>
          </w:p>
        </w:tc>
        <w:tc>
          <w:tcPr>
            <w:tcW w:w="1584" w:type="dxa"/>
          </w:tcPr>
          <w:p w14:paraId="7590A8B8" w14:textId="77777777" w:rsidR="00CD12F4" w:rsidRDefault="00000000">
            <w:pPr>
              <w:pStyle w:val="Compact"/>
              <w:jc w:val="right"/>
            </w:pPr>
            <w:r>
              <w:t>One warm-up plus 3 measured</w:t>
            </w:r>
          </w:p>
        </w:tc>
        <w:tc>
          <w:tcPr>
            <w:tcW w:w="1188" w:type="dxa"/>
          </w:tcPr>
          <w:p w14:paraId="49A596C6" w14:textId="77777777" w:rsidR="00CD12F4" w:rsidRDefault="00000000">
            <w:pPr>
              <w:pStyle w:val="Compact"/>
            </w:pPr>
            <w:r>
              <w:t xml:space="preserve">Public </w:t>
            </w:r>
            <w:r>
              <w:rPr>
                <w:rStyle w:val="VerbatimChar"/>
              </w:rPr>
              <w:t>Controller.submit</w:t>
            </w:r>
          </w:p>
        </w:tc>
      </w:tr>
      <w:tr w:rsidR="00CD12F4" w14:paraId="7DB2860B" w14:textId="77777777">
        <w:tc>
          <w:tcPr>
            <w:tcW w:w="1188" w:type="dxa"/>
          </w:tcPr>
          <w:p w14:paraId="489F5145" w14:textId="77777777" w:rsidR="00CD12F4" w:rsidRDefault="00000000">
            <w:pPr>
              <w:pStyle w:val="Compact"/>
            </w:pPr>
            <w:r>
              <w:t>Isolated operations</w:t>
            </w:r>
          </w:p>
        </w:tc>
        <w:tc>
          <w:tcPr>
            <w:tcW w:w="1188" w:type="dxa"/>
          </w:tcPr>
          <w:p w14:paraId="22FD9B36" w14:textId="77777777" w:rsidR="00CD12F4" w:rsidRDefault="00000000">
            <w:pPr>
              <w:pStyle w:val="Compact"/>
            </w:pPr>
            <w:r>
              <w:rPr>
                <w:rStyle w:val="VerbatimChar"/>
              </w:rPr>
              <w:t>experiments/isolated_operations_config.json</w:t>
            </w:r>
          </w:p>
        </w:tc>
        <w:tc>
          <w:tcPr>
            <w:tcW w:w="1584" w:type="dxa"/>
          </w:tcPr>
          <w:p w14:paraId="7638239B" w14:textId="77777777" w:rsidR="00CD12F4" w:rsidRDefault="00000000">
            <w:pPr>
              <w:pStyle w:val="Compact"/>
              <w:jc w:val="right"/>
            </w:pPr>
            <w:r>
              <w:t>270516</w:t>
            </w:r>
          </w:p>
        </w:tc>
        <w:tc>
          <w:tcPr>
            <w:tcW w:w="1188" w:type="dxa"/>
          </w:tcPr>
          <w:p w14:paraId="62BAEBF7" w14:textId="77777777" w:rsidR="00CD12F4" w:rsidRDefault="00000000">
            <w:pPr>
              <w:pStyle w:val="Compact"/>
            </w:pPr>
            <w:r>
              <w:t>10; 100; 1,000; 10,000</w:t>
            </w:r>
          </w:p>
        </w:tc>
        <w:tc>
          <w:tcPr>
            <w:tcW w:w="1584" w:type="dxa"/>
          </w:tcPr>
          <w:p w14:paraId="37FB49E8" w14:textId="77777777" w:rsidR="00CD12F4" w:rsidRDefault="00000000">
            <w:pPr>
              <w:pStyle w:val="Compact"/>
              <w:jc w:val="right"/>
            </w:pPr>
            <w:r>
              <w:t>One warm-up plus 3 measured</w:t>
            </w:r>
          </w:p>
        </w:tc>
        <w:tc>
          <w:tcPr>
            <w:tcW w:w="1188" w:type="dxa"/>
          </w:tcPr>
          <w:p w14:paraId="3E4F27B1" w14:textId="77777777" w:rsidR="00CD12F4" w:rsidRDefault="00000000">
            <w:pPr>
              <w:pStyle w:val="Compact"/>
            </w:pPr>
            <w:r>
              <w:t>Public repository lookup and authorization function separately</w:t>
            </w:r>
          </w:p>
        </w:tc>
      </w:tr>
    </w:tbl>
    <w:p w14:paraId="44CD3E8B" w14:textId="77777777" w:rsidR="00CD12F4" w:rsidRDefault="00000000">
      <w:pPr>
        <w:pStyle w:val="a0"/>
      </w:pPr>
      <w:r>
        <w:t xml:space="preserve">The accepted aggregate results are </w:t>
      </w:r>
      <w:r>
        <w:rPr>
          <w:rStyle w:val="VerbatimChar"/>
        </w:rPr>
        <w:t>results/scalability_results.json</w:t>
      </w:r>
      <w:r>
        <w:t xml:space="preserve"> and </w:t>
      </w:r>
      <w:r>
        <w:rPr>
          <w:rStyle w:val="VerbatimChar"/>
        </w:rPr>
        <w:t>data/results/sp07_isolated_operation_results.json</w:t>
      </w:r>
      <w:r>
        <w:t>. Environment records are stored beside those results. Large generated datasets are regenerated from configuration rather than committed.</w:t>
      </w:r>
    </w:p>
    <w:p w14:paraId="10E53FBA" w14:textId="77777777" w:rsidR="00CD12F4" w:rsidRDefault="00000000">
      <w:pPr>
        <w:pStyle w:val="3"/>
      </w:pPr>
      <w:bookmarkStart w:id="56" w:name="appendix-c-reproducibility-commands"/>
      <w:bookmarkEnd w:id="55"/>
      <w:r>
        <w:t>Appendix C — Reproducibility commands</w:t>
      </w:r>
    </w:p>
    <w:p w14:paraId="45CA8542" w14:textId="77777777" w:rsidR="00CD12F4" w:rsidRDefault="00000000">
      <w:pPr>
        <w:pStyle w:val="FirstParagraph"/>
      </w:pPr>
      <w:r>
        <w:t>From the repository root, with the authorized environment activated, the software suite can be run without repository-local cache artifacts:</w:t>
      </w:r>
    </w:p>
    <w:p w14:paraId="056701C8" w14:textId="77777777" w:rsidR="00CD12F4" w:rsidRDefault="00000000">
      <w:pPr>
        <w:pStyle w:val="SourceCode"/>
      </w:pPr>
      <w:r>
        <w:rPr>
          <w:rStyle w:val="BuiltInTok"/>
        </w:rPr>
        <w:t>source</w:t>
      </w:r>
      <w:r>
        <w:rPr>
          <w:rStyle w:val="NormalTok"/>
        </w:rPr>
        <w:t xml:space="preserve"> </w:t>
      </w:r>
      <w:r>
        <w:rPr>
          <w:rStyle w:val="StringTok"/>
        </w:rPr>
        <w:t>"</w:t>
      </w:r>
      <w:r>
        <w:rPr>
          <w:rStyle w:val="VariableTok"/>
        </w:rPr>
        <w:t>$HOME</w:t>
      </w:r>
      <w:r>
        <w:rPr>
          <w:rStyle w:val="StringTok"/>
        </w:rPr>
        <w:t>/.venvs/eeeproject-elevator/bin/activate"</w:t>
      </w:r>
      <w:r>
        <w:br/>
      </w:r>
      <w:r>
        <w:rPr>
          <w:rStyle w:val="VariableTok"/>
        </w:rPr>
        <w:t>PYTHONDONTWRITEBYTECODE</w:t>
      </w:r>
      <w:r>
        <w:rPr>
          <w:rStyle w:val="OperatorTok"/>
        </w:rPr>
        <w:t>=</w:t>
      </w:r>
      <w:r>
        <w:rPr>
          <w:rStyle w:val="NormalTok"/>
        </w:rPr>
        <w:t xml:space="preserve">1 </w:t>
      </w:r>
      <w:r>
        <w:rPr>
          <w:rStyle w:val="VariableTok"/>
        </w:rPr>
        <w:t>PYTHONPATH</w:t>
      </w:r>
      <w:r>
        <w:rPr>
          <w:rStyle w:val="OperatorTok"/>
        </w:rPr>
        <w:t>=</w:t>
      </w:r>
      <w:r>
        <w:rPr>
          <w:rStyle w:val="NormalTok"/>
        </w:rPr>
        <w:t xml:space="preserve">src </w:t>
      </w:r>
      <w:r>
        <w:rPr>
          <w:rStyle w:val="ExtensionTok"/>
        </w:rPr>
        <w:t>python</w:t>
      </w:r>
      <w:r>
        <w:rPr>
          <w:rStyle w:val="NormalTok"/>
        </w:rPr>
        <w:t xml:space="preserve"> </w:t>
      </w:r>
      <w:r>
        <w:rPr>
          <w:rStyle w:val="AttributeTok"/>
        </w:rPr>
        <w:t>-m</w:t>
      </w:r>
      <w:r>
        <w:rPr>
          <w:rStyle w:val="NormalTok"/>
        </w:rPr>
        <w:t xml:space="preserve"> pytest </w:t>
      </w:r>
      <w:r>
        <w:rPr>
          <w:rStyle w:val="AttributeTok"/>
        </w:rPr>
        <w:t>-p</w:t>
      </w:r>
      <w:r>
        <w:rPr>
          <w:rStyle w:val="NormalTok"/>
        </w:rPr>
        <w:t xml:space="preserve"> no:cacheprovider</w:t>
      </w:r>
    </w:p>
    <w:p w14:paraId="5BBC1019" w14:textId="77777777" w:rsidR="00CD12F4" w:rsidRDefault="00000000">
      <w:pPr>
        <w:pStyle w:val="FirstParagraph"/>
      </w:pPr>
      <w:r>
        <w:t>Compilation and import checks can be isolated from the repository tree:</w:t>
      </w:r>
    </w:p>
    <w:p w14:paraId="58C282FF" w14:textId="77777777" w:rsidR="00CD12F4" w:rsidRDefault="00000000">
      <w:pPr>
        <w:pStyle w:val="SourceCode"/>
      </w:pPr>
      <w:r>
        <w:rPr>
          <w:rStyle w:val="FunctionTok"/>
        </w:rPr>
        <w:t>rm</w:t>
      </w:r>
      <w:r>
        <w:rPr>
          <w:rStyle w:val="NormalTok"/>
        </w:rPr>
        <w:t xml:space="preserve"> </w:t>
      </w:r>
      <w:r>
        <w:rPr>
          <w:rStyle w:val="AttributeTok"/>
        </w:rPr>
        <w:t>-rf</w:t>
      </w:r>
      <w:r>
        <w:rPr>
          <w:rStyle w:val="NormalTok"/>
        </w:rPr>
        <w:t xml:space="preserve"> /tmp/eeeproject-sp08d-pycache</w:t>
      </w:r>
      <w:r>
        <w:br/>
      </w:r>
      <w:r>
        <w:rPr>
          <w:rStyle w:val="VariableTok"/>
        </w:rPr>
        <w:t>PYTHONPYCACHEPREFIX</w:t>
      </w:r>
      <w:r>
        <w:rPr>
          <w:rStyle w:val="OperatorTok"/>
        </w:rPr>
        <w:t>=</w:t>
      </w:r>
      <w:r>
        <w:rPr>
          <w:rStyle w:val="NormalTok"/>
        </w:rPr>
        <w:t xml:space="preserve">/tmp/eeeproject-sp08d-pycache </w:t>
      </w:r>
      <w:r>
        <w:rPr>
          <w:rStyle w:val="ExtensionTok"/>
        </w:rPr>
        <w:t>python</w:t>
      </w:r>
      <w:r>
        <w:rPr>
          <w:rStyle w:val="NormalTok"/>
        </w:rPr>
        <w:t xml:space="preserve"> </w:t>
      </w:r>
      <w:r>
        <w:rPr>
          <w:rStyle w:val="AttributeTok"/>
        </w:rPr>
        <w:t>-m</w:t>
      </w:r>
      <w:r>
        <w:rPr>
          <w:rStyle w:val="NormalTok"/>
        </w:rPr>
        <w:t xml:space="preserve"> compileall </w:t>
      </w:r>
      <w:r>
        <w:rPr>
          <w:rStyle w:val="AttributeTok"/>
        </w:rPr>
        <w:t>-q</w:t>
      </w:r>
      <w:r>
        <w:rPr>
          <w:rStyle w:val="NormalTok"/>
        </w:rPr>
        <w:t xml:space="preserve"> src tests scripts analysis</w:t>
      </w:r>
      <w:r>
        <w:br/>
      </w:r>
      <w:r>
        <w:rPr>
          <w:rStyle w:val="VariableTok"/>
        </w:rPr>
        <w:t>PYTHONDONTWRITEBYTECODE</w:t>
      </w:r>
      <w:r>
        <w:rPr>
          <w:rStyle w:val="OperatorTok"/>
        </w:rPr>
        <w:t>=</w:t>
      </w:r>
      <w:r>
        <w:rPr>
          <w:rStyle w:val="NormalTok"/>
        </w:rPr>
        <w:t xml:space="preserve">1 </w:t>
      </w:r>
      <w:r>
        <w:rPr>
          <w:rStyle w:val="VariableTok"/>
        </w:rPr>
        <w:t>PYTHONPATH</w:t>
      </w:r>
      <w:r>
        <w:rPr>
          <w:rStyle w:val="OperatorTok"/>
        </w:rPr>
        <w:t>=</w:t>
      </w:r>
      <w:r>
        <w:rPr>
          <w:rStyle w:val="NormalTok"/>
        </w:rPr>
        <w:t xml:space="preserve">src </w:t>
      </w:r>
      <w:r>
        <w:rPr>
          <w:rStyle w:val="ExtensionTok"/>
        </w:rPr>
        <w:t>python</w:t>
      </w:r>
      <w:r>
        <w:rPr>
          <w:rStyle w:val="NormalTok"/>
        </w:rPr>
        <w:t xml:space="preserve"> </w:t>
      </w:r>
      <w:r>
        <w:rPr>
          <w:rStyle w:val="AttributeTok"/>
        </w:rPr>
        <w:t>-c</w:t>
      </w:r>
      <w:r>
        <w:rPr>
          <w:rStyle w:val="NormalTok"/>
        </w:rPr>
        <w:t xml:space="preserve"> </w:t>
      </w:r>
      <w:r>
        <w:rPr>
          <w:rStyle w:val="StringTok"/>
        </w:rPr>
        <w:t>"import elevator_access_sim"</w:t>
      </w:r>
      <w:r>
        <w:br/>
      </w:r>
      <w:r>
        <w:rPr>
          <w:rStyle w:val="VariableTok"/>
        </w:rPr>
        <w:t>PYTHONDONTWRITEBYTECODE</w:t>
      </w:r>
      <w:r>
        <w:rPr>
          <w:rStyle w:val="OperatorTok"/>
        </w:rPr>
        <w:t>=</w:t>
      </w:r>
      <w:r>
        <w:rPr>
          <w:rStyle w:val="NormalTok"/>
        </w:rPr>
        <w:t xml:space="preserve">1 </w:t>
      </w:r>
      <w:r>
        <w:rPr>
          <w:rStyle w:val="VariableTok"/>
        </w:rPr>
        <w:t>PYTHONPATH</w:t>
      </w:r>
      <w:r>
        <w:rPr>
          <w:rStyle w:val="OperatorTok"/>
        </w:rPr>
        <w:t>=</w:t>
      </w:r>
      <w:r>
        <w:rPr>
          <w:rStyle w:val="NormalTok"/>
        </w:rPr>
        <w:t xml:space="preserve">src </w:t>
      </w:r>
      <w:r>
        <w:rPr>
          <w:rStyle w:val="ExtensionTok"/>
        </w:rPr>
        <w:t>python</w:t>
      </w:r>
      <w:r>
        <w:rPr>
          <w:rStyle w:val="NormalTok"/>
        </w:rPr>
        <w:t xml:space="preserve"> </w:t>
      </w:r>
      <w:r>
        <w:rPr>
          <w:rStyle w:val="AttributeTok"/>
        </w:rPr>
        <w:t>-c</w:t>
      </w:r>
      <w:r>
        <w:rPr>
          <w:rStyle w:val="NormalTok"/>
        </w:rPr>
        <w:t xml:space="preserve"> </w:t>
      </w:r>
      <w:r>
        <w:rPr>
          <w:rStyle w:val="StringTok"/>
        </w:rPr>
        <w:t xml:space="preserve">"from elevator_access_sim </w:t>
      </w:r>
      <w:r>
        <w:rPr>
          <w:rStyle w:val="StringTok"/>
        </w:rPr>
        <w:lastRenderedPageBreak/>
        <w:t>import Controller"</w:t>
      </w:r>
      <w:r>
        <w:br/>
      </w:r>
      <w:r>
        <w:rPr>
          <w:rStyle w:val="FunctionTok"/>
        </w:rPr>
        <w:t>rm</w:t>
      </w:r>
      <w:r>
        <w:rPr>
          <w:rStyle w:val="NormalTok"/>
        </w:rPr>
        <w:t xml:space="preserve"> </w:t>
      </w:r>
      <w:r>
        <w:rPr>
          <w:rStyle w:val="AttributeTok"/>
        </w:rPr>
        <w:t>-rf</w:t>
      </w:r>
      <w:r>
        <w:rPr>
          <w:rStyle w:val="NormalTok"/>
        </w:rPr>
        <w:t xml:space="preserve"> /tmp/eeeproject-sp08d-pycache</w:t>
      </w:r>
    </w:p>
    <w:p w14:paraId="39284A67" w14:textId="77777777" w:rsidR="00CD12F4" w:rsidRDefault="00000000">
      <w:pPr>
        <w:pStyle w:val="FirstParagraph"/>
      </w:pPr>
      <w:r>
        <w:t xml:space="preserve">The complete CLI and experiment procedures are in </w:t>
      </w:r>
      <w:r>
        <w:rPr>
          <w:rStyle w:val="VerbatimChar"/>
        </w:rPr>
        <w:t>docs/reproducibility.md</w:t>
      </w:r>
      <w:r>
        <w:t>. These commands reproduce host software only and require no reader, controller board, elevator, network service, or database server.</w:t>
      </w:r>
    </w:p>
    <w:p w14:paraId="59BB1C1F" w14:textId="77777777" w:rsidR="00CD12F4" w:rsidRDefault="00000000">
      <w:pPr>
        <w:pStyle w:val="3"/>
      </w:pPr>
      <w:bookmarkStart w:id="57" w:name="X3cc38cd36b3f54440b35129fc8fe66b85620933"/>
      <w:bookmarkEnd w:id="56"/>
      <w:r>
        <w:t>Appendix D — Accepted result-artifact inventory</w:t>
      </w:r>
    </w:p>
    <w:tbl>
      <w:tblPr>
        <w:tblStyle w:val="Table"/>
        <w:tblW w:w="5000" w:type="pct"/>
        <w:tblLayout w:type="fixed"/>
        <w:tblLook w:val="0020" w:firstRow="1" w:lastRow="0" w:firstColumn="0" w:lastColumn="0" w:noHBand="0" w:noVBand="0"/>
      </w:tblPr>
      <w:tblGrid>
        <w:gridCol w:w="4788"/>
        <w:gridCol w:w="4788"/>
      </w:tblGrid>
      <w:tr w:rsidR="00CD12F4" w14:paraId="75CF5B01" w14:textId="77777777" w:rsidTr="00CD12F4">
        <w:trPr>
          <w:cnfStyle w:val="100000000000" w:firstRow="1" w:lastRow="0" w:firstColumn="0" w:lastColumn="0" w:oddVBand="0" w:evenVBand="0" w:oddHBand="0" w:evenHBand="0" w:firstRowFirstColumn="0" w:firstRowLastColumn="0" w:lastRowFirstColumn="0" w:lastRowLastColumn="0"/>
          <w:tblHeader/>
        </w:trPr>
        <w:tc>
          <w:tcPr>
            <w:tcW w:w="3960" w:type="dxa"/>
          </w:tcPr>
          <w:p w14:paraId="7A32AEC5" w14:textId="77777777" w:rsidR="00CD12F4" w:rsidRDefault="00000000">
            <w:pPr>
              <w:pStyle w:val="Compact"/>
            </w:pPr>
            <w:r>
              <w:t>Artifact</w:t>
            </w:r>
          </w:p>
        </w:tc>
        <w:tc>
          <w:tcPr>
            <w:tcW w:w="3960" w:type="dxa"/>
          </w:tcPr>
          <w:p w14:paraId="0567AFC9" w14:textId="77777777" w:rsidR="00CD12F4" w:rsidRDefault="00000000">
            <w:pPr>
              <w:pStyle w:val="Compact"/>
            </w:pPr>
            <w:r>
              <w:t>Purpose</w:t>
            </w:r>
          </w:p>
        </w:tc>
      </w:tr>
      <w:tr w:rsidR="00CD12F4" w14:paraId="787C526E" w14:textId="77777777">
        <w:tc>
          <w:tcPr>
            <w:tcW w:w="3960" w:type="dxa"/>
          </w:tcPr>
          <w:p w14:paraId="2EE31CEA" w14:textId="77777777" w:rsidR="00CD12F4" w:rsidRDefault="00000000">
            <w:pPr>
              <w:pStyle w:val="Compact"/>
            </w:pPr>
            <w:r>
              <w:rPr>
                <w:rStyle w:val="VerbatimChar"/>
              </w:rPr>
              <w:t>data/results/sp07_table_experiment_coverage.csv</w:t>
            </w:r>
          </w:p>
        </w:tc>
        <w:tc>
          <w:tcPr>
            <w:tcW w:w="3960" w:type="dxa"/>
          </w:tcPr>
          <w:p w14:paraId="59D9180B" w14:textId="77777777" w:rsidR="00CD12F4" w:rsidRDefault="00000000">
            <w:pPr>
              <w:pStyle w:val="Compact"/>
            </w:pPr>
            <w:r>
              <w:t>Accepted experiment-evidence coverage</w:t>
            </w:r>
          </w:p>
        </w:tc>
      </w:tr>
      <w:tr w:rsidR="00CD12F4" w14:paraId="5C719AA2" w14:textId="77777777">
        <w:tc>
          <w:tcPr>
            <w:tcW w:w="3960" w:type="dxa"/>
          </w:tcPr>
          <w:p w14:paraId="54735081" w14:textId="77777777" w:rsidR="00CD12F4" w:rsidRDefault="00000000">
            <w:pPr>
              <w:pStyle w:val="Compact"/>
            </w:pPr>
            <w:r>
              <w:rPr>
                <w:rStyle w:val="VerbatimChar"/>
              </w:rPr>
              <w:t>data/results/sp07_table_correctness.csv</w:t>
            </w:r>
          </w:p>
        </w:tc>
        <w:tc>
          <w:tcPr>
            <w:tcW w:w="3960" w:type="dxa"/>
          </w:tcPr>
          <w:p w14:paraId="66E43928" w14:textId="77777777" w:rsidR="00CD12F4" w:rsidRDefault="00000000">
            <w:pPr>
              <w:pStyle w:val="Compact"/>
            </w:pPr>
            <w:r>
              <w:t>Deterministic correctness reconciliation</w:t>
            </w:r>
          </w:p>
        </w:tc>
      </w:tr>
      <w:tr w:rsidR="00CD12F4" w14:paraId="1BE7AA59" w14:textId="77777777">
        <w:tc>
          <w:tcPr>
            <w:tcW w:w="3960" w:type="dxa"/>
          </w:tcPr>
          <w:p w14:paraId="0D46104C" w14:textId="77777777" w:rsidR="00CD12F4" w:rsidRDefault="00000000">
            <w:pPr>
              <w:pStyle w:val="Compact"/>
            </w:pPr>
            <w:r>
              <w:rPr>
                <w:rStyle w:val="VerbatimChar"/>
              </w:rPr>
              <w:t>data/results/sp07_table_timing_summary.csv</w:t>
            </w:r>
          </w:p>
        </w:tc>
        <w:tc>
          <w:tcPr>
            <w:tcW w:w="3960" w:type="dxa"/>
          </w:tcPr>
          <w:p w14:paraId="53EBE61C" w14:textId="77777777" w:rsidR="00CD12F4" w:rsidRDefault="00000000">
            <w:pPr>
              <w:pStyle w:val="Compact"/>
            </w:pPr>
            <w:r>
              <w:t>Repetition-level host timing summary</w:t>
            </w:r>
          </w:p>
        </w:tc>
      </w:tr>
      <w:tr w:rsidR="00CD12F4" w14:paraId="357AE1DD" w14:textId="77777777">
        <w:tc>
          <w:tcPr>
            <w:tcW w:w="3960" w:type="dxa"/>
          </w:tcPr>
          <w:p w14:paraId="217EDA92" w14:textId="77777777" w:rsidR="00CD12F4" w:rsidRDefault="00000000">
            <w:pPr>
              <w:pStyle w:val="Compact"/>
            </w:pPr>
            <w:r>
              <w:rPr>
                <w:rStyle w:val="VerbatimChar"/>
              </w:rPr>
              <w:t>docs/figures/sp07_mixed_controller_average_ns.svg</w:t>
            </w:r>
          </w:p>
        </w:tc>
        <w:tc>
          <w:tcPr>
            <w:tcW w:w="3960" w:type="dxa"/>
          </w:tcPr>
          <w:p w14:paraId="1A93DC65" w14:textId="77777777" w:rsidR="00CD12F4" w:rsidRDefault="00000000">
            <w:pPr>
              <w:pStyle w:val="Compact"/>
            </w:pPr>
            <w:r>
              <w:t>Accepted mixed controller timing figure</w:t>
            </w:r>
          </w:p>
        </w:tc>
      </w:tr>
      <w:tr w:rsidR="00CD12F4" w14:paraId="49CE2436" w14:textId="77777777">
        <w:tc>
          <w:tcPr>
            <w:tcW w:w="3960" w:type="dxa"/>
          </w:tcPr>
          <w:p w14:paraId="4637A697" w14:textId="77777777" w:rsidR="00CD12F4" w:rsidRDefault="00000000">
            <w:pPr>
              <w:pStyle w:val="Compact"/>
            </w:pPr>
            <w:r>
              <w:rPr>
                <w:rStyle w:val="VerbatimChar"/>
              </w:rPr>
              <w:t>docs/figures/sp07_lookup_average_ns.svg</w:t>
            </w:r>
          </w:p>
        </w:tc>
        <w:tc>
          <w:tcPr>
            <w:tcW w:w="3960" w:type="dxa"/>
          </w:tcPr>
          <w:p w14:paraId="5FFEB762" w14:textId="77777777" w:rsidR="00CD12F4" w:rsidRDefault="00000000">
            <w:pPr>
              <w:pStyle w:val="Compact"/>
            </w:pPr>
            <w:r>
              <w:t>Accepted direct lookup timing figure</w:t>
            </w:r>
          </w:p>
        </w:tc>
      </w:tr>
      <w:tr w:rsidR="00CD12F4" w14:paraId="26336FC8" w14:textId="77777777">
        <w:tc>
          <w:tcPr>
            <w:tcW w:w="3960" w:type="dxa"/>
          </w:tcPr>
          <w:p w14:paraId="044FFDE4" w14:textId="77777777" w:rsidR="00CD12F4" w:rsidRDefault="00000000">
            <w:pPr>
              <w:pStyle w:val="Compact"/>
            </w:pPr>
            <w:r>
              <w:rPr>
                <w:rStyle w:val="VerbatimChar"/>
              </w:rPr>
              <w:t>docs/figures/sp07_authorization_average_ns.svg</w:t>
            </w:r>
          </w:p>
        </w:tc>
        <w:tc>
          <w:tcPr>
            <w:tcW w:w="3960" w:type="dxa"/>
          </w:tcPr>
          <w:p w14:paraId="0BCBD83E" w14:textId="77777777" w:rsidR="00CD12F4" w:rsidRDefault="00000000">
            <w:pPr>
              <w:pStyle w:val="Compact"/>
            </w:pPr>
            <w:r>
              <w:t>Accepted direct authorization timing figure</w:t>
            </w:r>
          </w:p>
        </w:tc>
      </w:tr>
      <w:tr w:rsidR="00CD12F4" w14:paraId="79A088C4" w14:textId="77777777">
        <w:tc>
          <w:tcPr>
            <w:tcW w:w="3960" w:type="dxa"/>
          </w:tcPr>
          <w:p w14:paraId="1E541A69" w14:textId="77777777" w:rsidR="00CD12F4" w:rsidRDefault="00000000">
            <w:pPr>
              <w:pStyle w:val="Compact"/>
            </w:pPr>
            <w:r>
              <w:rPr>
                <w:rStyle w:val="VerbatimChar"/>
              </w:rPr>
              <w:t>data/results/sp07_report_artifact_manifest.json</w:t>
            </w:r>
          </w:p>
        </w:tc>
        <w:tc>
          <w:tcPr>
            <w:tcW w:w="3960" w:type="dxa"/>
          </w:tcPr>
          <w:p w14:paraId="1B85DDF4" w14:textId="77777777" w:rsidR="00CD12F4" w:rsidRDefault="00000000">
            <w:pPr>
              <w:pStyle w:val="Compact"/>
            </w:pPr>
            <w:r>
              <w:t>Integrity and provenance record for report assets</w:t>
            </w:r>
          </w:p>
        </w:tc>
      </w:tr>
      <w:tr w:rsidR="00CD12F4" w14:paraId="1CFF416E" w14:textId="77777777">
        <w:tc>
          <w:tcPr>
            <w:tcW w:w="3960" w:type="dxa"/>
          </w:tcPr>
          <w:p w14:paraId="1EABD113" w14:textId="77777777" w:rsidR="00CD12F4" w:rsidRDefault="00000000">
            <w:pPr>
              <w:pStyle w:val="Compact"/>
            </w:pPr>
            <w:r>
              <w:rPr>
                <w:rStyle w:val="VerbatimChar"/>
              </w:rPr>
              <w:t>audit/validation/subproject_07_final_validation_ledger.csv</w:t>
            </w:r>
          </w:p>
        </w:tc>
        <w:tc>
          <w:tcPr>
            <w:tcW w:w="3960" w:type="dxa"/>
          </w:tcPr>
          <w:p w14:paraId="408081C5" w14:textId="77777777" w:rsidR="00CD12F4" w:rsidRDefault="00000000">
            <w:pPr>
              <w:pStyle w:val="Compact"/>
            </w:pPr>
            <w:r>
              <w:t>Independent claim-level interpretation authority</w:t>
            </w:r>
          </w:p>
        </w:tc>
      </w:tr>
    </w:tbl>
    <w:p w14:paraId="077DCACB" w14:textId="77777777" w:rsidR="00CD12F4" w:rsidRDefault="00000000">
      <w:pPr>
        <w:pStyle w:val="3"/>
      </w:pPr>
      <w:bookmarkStart w:id="58" w:name="X0be1c7d5caea67033c6cdbcca4a5dc5773a47f3"/>
      <w:bookmarkEnd w:id="57"/>
      <w:r>
        <w:t>Appendix E — Deferred requirements and major evidence gaps</w:t>
      </w:r>
    </w:p>
    <w:p w14:paraId="7FD97933" w14:textId="77777777" w:rsidR="00CD12F4" w:rsidRDefault="00000000">
      <w:pPr>
        <w:pStyle w:val="FirstParagraph"/>
      </w:pPr>
      <w:r>
        <w:t>The six optional requirements remain deferred: extra Wiegand profiles, additional authorization features, persistent local credential storage, an enhanced interface, physical adapters, and extra experiment sizes. No optional item is represented as implemented.</w:t>
      </w:r>
    </w:p>
    <w:p w14:paraId="550BA737" w14:textId="77777777" w:rsidR="00CD12F4" w:rsidRDefault="00000000">
      <w:pPr>
        <w:pStyle w:val="a0"/>
      </w:pPr>
      <w:r>
        <w:t>Major evidence gaps are the unavailable product capture and imagery, missing manufacturer documentation, unknown commercial technical characteristics, unavailable physical elevator-integration authority, and unavailable application-specific physical safety evidence. The final submission date, portal, signature workflow, presentation rules, and related administrative decisions are later-stage human inputs and are outside this technical draft.</w:t>
      </w:r>
      <w:bookmarkEnd w:id="0"/>
      <w:bookmarkEnd w:id="53"/>
      <w:bookmarkEnd w:id="58"/>
    </w:p>
    <w:sectPr w:rsidR="00CD12F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E76CA3B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694185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D12F4"/>
    <w:rsid w:val="002A2E64"/>
    <w:rsid w:val="00CD12F4"/>
    <w:rsid w:val="00DB07C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122A4"/>
  <w15:docId w15:val="{BAF0EF22-0DA4-4DA4-A9DC-0C2F52BE9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כותרת טקסט תו"/>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כותרת משנה תו"/>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כותרת 1 תו"/>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כותרת 4 תו"/>
    <w:basedOn w:val="a1"/>
    <w:link w:val="4"/>
    <w:uiPriority w:val="9"/>
    <w:semiHidden/>
    <w:rsid w:val="00A10FD9"/>
    <w:rPr>
      <w:rFonts w:eastAsiaTheme="majorEastAsia" w:cstheme="majorBidi"/>
      <w:i/>
      <w:iCs/>
      <w:color w:val="0F4761" w:themeColor="accent1" w:themeShade="BF"/>
    </w:rPr>
  </w:style>
  <w:style w:type="character" w:customStyle="1" w:styleId="50">
    <w:name w:val="כותרת 5 תו"/>
    <w:basedOn w:val="a1"/>
    <w:link w:val="5"/>
    <w:uiPriority w:val="9"/>
    <w:semiHidden/>
    <w:rsid w:val="00A10FD9"/>
    <w:rPr>
      <w:rFonts w:eastAsiaTheme="majorEastAsia" w:cstheme="majorBidi"/>
      <w:color w:val="0F4761" w:themeColor="accent1" w:themeShade="BF"/>
    </w:rPr>
  </w:style>
  <w:style w:type="character" w:customStyle="1" w:styleId="60">
    <w:name w:val="כותרת 6 תו"/>
    <w:basedOn w:val="a1"/>
    <w:link w:val="6"/>
    <w:uiPriority w:val="9"/>
    <w:semiHidden/>
    <w:rsid w:val="00A10FD9"/>
    <w:rPr>
      <w:rFonts w:eastAsiaTheme="majorEastAsia" w:cstheme="majorBidi"/>
      <w:i/>
      <w:iCs/>
      <w:color w:val="595959" w:themeColor="text1" w:themeTint="A6"/>
    </w:rPr>
  </w:style>
  <w:style w:type="character" w:customStyle="1" w:styleId="70">
    <w:name w:val="כותרת 7 תו"/>
    <w:basedOn w:val="a1"/>
    <w:link w:val="7"/>
    <w:uiPriority w:val="9"/>
    <w:semiHidden/>
    <w:rsid w:val="00A10FD9"/>
    <w:rPr>
      <w:rFonts w:eastAsiaTheme="majorEastAsia" w:cstheme="majorBidi"/>
      <w:color w:val="595959" w:themeColor="text1" w:themeTint="A6"/>
    </w:rPr>
  </w:style>
  <w:style w:type="character" w:customStyle="1" w:styleId="80">
    <w:name w:val="כותרת 8 תו"/>
    <w:basedOn w:val="a1"/>
    <w:link w:val="8"/>
    <w:uiPriority w:val="9"/>
    <w:semiHidden/>
    <w:rsid w:val="00A10FD9"/>
    <w:rPr>
      <w:rFonts w:eastAsiaTheme="majorEastAsia" w:cstheme="majorBidi"/>
      <w:i/>
      <w:iCs/>
      <w:color w:val="272727" w:themeColor="text1" w:themeTint="D8"/>
    </w:rPr>
  </w:style>
  <w:style w:type="character" w:customStyle="1" w:styleId="90">
    <w:name w:val="כותרת 9 תו"/>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כיתוב תו"/>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Hyperlink">
    <w:name w:val="Hyperlink"/>
    <w:basedOn w:val="ad"/>
    <w:rPr>
      <w:color w:val="156082" w:themeColor="accent1"/>
    </w:rPr>
  </w:style>
  <w:style w:type="paragraph" w:styleId="af">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22</Pages>
  <Words>7415</Words>
  <Characters>42272</Characters>
  <Application>Microsoft Office Word</Application>
  <DocSecurity>0</DocSecurity>
  <Lines>352</Lines>
  <Paragraphs>99</Paragraphs>
  <ScaleCrop>false</ScaleCrop>
  <Company/>
  <LinksUpToDate>false</LinksUpToDate>
  <CharactersWithSpaces>49588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בר שטינבורצל</cp:lastModifiedBy>
  <cp:revision>2</cp:revision>
  <dcterms:created xsi:type="dcterms:W3CDTF">2026-08-16T09:41:00Z</dcterms:created>
  <dcterms:modified xsi:type="dcterms:W3CDTF">2026-08-16T09:46:00Z</dcterms:modified>
</cp:coreProperties>
</file>