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42AA13E">
      <w:pPr>
        <w:pStyle w:val="Heading1"/>
        <w:spacing w:before="320" w:after="160" w:line="360" w:lineRule="auto"/>
        <w:jc w:val="center"/>
      </w:pPr>
      <w:r>
        <w:rPr>
          <w:rFonts w:ascii="Times New Roman" w:hAnsi="Times New Roman" w:eastAsia="宋体" w:cs="Times New Roman" w:csTheme="majorBidi"/>
          <w:b/>
          <w:bCs/>
          <w:color w:val="365F91" w:themeColor="accent1" w:themeShade="BF"/>
          <w:sz w:val="36"/>
          <w:szCs w:val="28"/>
        </w:rPr>
        <w:t>CMCH@CoNi-LDH-S 计算方法与结果</w:t>
      </w:r>
    </w:p>
    <w:p w14:paraId="4A33FC98">
      <w:pPr>
        <w:pStyle w:val="Heading2"/>
        <w:spacing w:before="280" w:after="120" w:line="360" w:lineRule="auto"/>
      </w:pPr>
      <w:r>
        <w:rPr>
          <w:rFonts w:ascii="Times New Roman" w:hAnsi="Times New Roman" w:eastAsia="宋体" w:cs="Times New Roman" w:csTheme="majorBidi"/>
          <w:b/>
          <w:bCs/>
          <w:color w:val="4F81BD" w:themeColor="accent1"/>
          <w:sz w:val="30"/>
          <w:szCs w:val="26"/>
        </w:rPr>
        <w:t>计算方法</w:t>
      </w:r>
    </w:p>
    <w:p w14:paraId="5989C5D8">
      <w:pPr>
        <w:pStyle w:val="Heading3"/>
        <w:spacing w:before="240" w:after="120" w:line="360" w:lineRule="auto"/>
      </w:pPr>
      <w:r>
        <w:rPr>
          <w:rFonts w:ascii="Times New Roman" w:hAnsi="Times New Roman" w:eastAsia="宋体" w:cs="Times New Roman" w:csTheme="majorBidi"/>
          <w:b/>
          <w:bCs/>
          <w:color w:val="4F81BD" w:themeColor="accent1"/>
          <w:sz w:val="26"/>
          <w:szCs w:val="22"/>
        </w:rPr>
        <w:t>密度泛函理论参数</w:t>
      </w:r>
    </w:p>
    <w:p w14:paraId="784CF191">
      <w:pPr>
        <w:spacing w:before="60" w:after="60" w:line="360" w:lineRule="auto"/>
      </w:pPr>
      <w:r>
        <w:rPr>
          <w:rFonts w:ascii="Times New Roman" w:hAnsi="Times New Roman" w:eastAsia="宋体" w:cs="Times New Roman" w:csTheme="minorBidi"/>
          <w:sz w:val="22"/>
          <w:szCs w:val="22"/>
        </w:rPr>
        <w:t>所有自旋极化密度泛函理论（DFT）计算均采用 Vienna Ab initio Simulation Package（VASP 6.4.3）配合投影缀加波（PAW）方法完成，使用 PBE_64 赝势数据库。对于 Mn 原子，采用包含半核 3p 态处理的 Mn_pv 赝势以准确描述其电子结构。电子交换关联相互作用采用广义梯度近似（GGA）下的 Perdew-Burke-Ernzerhof（PBE）泛函。</w:t>
      </w:r>
    </w:p>
    <w:p w14:paraId="4BD28485">
      <w:pPr>
        <w:spacing w:before="60" w:after="60" w:line="360" w:lineRule="auto"/>
      </w:pPr>
      <w:r>
        <w:rPr>
          <w:rFonts w:ascii="Times New Roman" w:hAnsi="Times New Roman" w:eastAsia="宋体" w:cs="Times New Roman" w:csTheme="minorBidi"/>
          <w:sz w:val="22"/>
          <w:szCs w:val="22"/>
        </w:rPr>
        <w:t>为描述过渡金属 3d 电子的强在位库仑排斥作用，采用 Dudarev 形式的 DFT+U 方法，有效 U 值分别设为 Co 3.32 eV、Mn 5.00 eV 和 Ni 6.20 eV。这些取值与 Materials Project 标准设置一致，并被广泛用于含 Co/Mn/Ni 氢氧化物的电子结构研究。为验证这些 U 值对本研究体系的适用性，我们检查了各过渡金属的磁矩并与理论高自旋（HS）极限进行了比较：Co 磁性离子呈现 2.75 μB（占 HS 理论值 3 μB 的 92%），Ni 为 1.82 μB（占 HS 理论值 2 μB 的 91%），Mn 为 4.68 μB（占 HS 理论值 5 μB 的 94%）。这些磁矩均接近各自的高自旋极限值，表明所选的 U 值提供了对过渡金属 3d 电子在位库仑作用的合理描述。</w:t>
      </w:r>
    </w:p>
    <w:p w14:paraId="06B81968">
      <w:pPr>
        <w:spacing w:before="120" w:after="120" w:line="360" w:lineRule="auto"/>
        <w:ind w:left="567"/>
      </w:pPr>
      <w:r>
        <w:rPr>
          <w:rFonts w:ascii="Times New Roman" w:hAnsi="Times New Roman" w:eastAsia="楷体" w:cs="Times New Roman" w:csTheme="minorBidi"/>
          <w:b/>
          <w:bCs/>
          <w:color w:val="707070"/>
          <w:sz w:val="20"/>
          <w:szCs w:val="22"/>
        </w:rPr>
        <w:t>批注 [#1 U值独立验证]</w:t>
      </w:r>
      <w:r>
        <w:rPr>
          <w:rFonts w:ascii="Times New Roman" w:hAnsi="Times New Roman" w:eastAsia="楷体" w:cs="Times New Roman" w:csTheme="minorBidi"/>
          <w:color w:val="707070"/>
          <w:sz w:val="20"/>
          <w:szCs w:val="22"/>
        </w:rPr>
        <w:t>批注 [#1 U值独立验证]: 审稿人可能仍要求线性响应验证，但磁矩对比是一个可接受的备选验证。建议在 SI 中补充 U ± 1 eV 的敏感性测试（即重复计算一个代表性体系的能隙，展示带隙崩塌结论的稳定性）。</w:t>
      </w:r>
      <w:r>
        <w:br w:type="textWrapping"/>
      </w:r>
      <w:r>
        <w:rPr>
          <w:rFonts w:ascii="Times New Roman" w:hAnsi="Times New Roman" w:eastAsia="楷体" w:cs="Times New Roman" w:csTheme="minorBidi"/>
          <w:color w:val="707070"/>
          <w:sz w:val="20"/>
          <w:szCs w:val="22"/>
        </w:rPr>
        <w:t>&gt;</w:t>
      </w:r>
      <w:r>
        <w:br w:type="textWrapping"/>
      </w:r>
      <w:r>
        <w:rPr>
          <w:rFonts w:ascii="Times New Roman" w:hAnsi="Times New Roman" w:eastAsia="楷体" w:cs="Times New Roman" w:csTheme="minorBidi"/>
          <w:color w:val="707070"/>
          <w:sz w:val="20"/>
          <w:szCs w:val="22"/>
        </w:rPr>
        <w:t xml:space="preserve">&gt; </w:t>
      </w:r>
      <w:r>
        <w:rPr>
          <w:rFonts w:ascii="Times New Roman" w:hAnsi="Times New Roman" w:eastAsia="楷体" w:cs="Times New Roman" w:csTheme="minorBidi"/>
          <w:b/>
          <w:bCs/>
          <w:color w:val="707070"/>
          <w:sz w:val="20"/>
          <w:szCs w:val="22"/>
        </w:rPr>
        <w:t>注解</w:t>
      </w:r>
      <w:r>
        <w:rPr>
          <w:rFonts w:ascii="Times New Roman" w:hAnsi="Times New Roman" w:eastAsia="楷体" w:cs="Times New Roman" w:csTheme="minorBidi"/>
          <w:color w:val="707070"/>
          <w:sz w:val="20"/>
          <w:szCs w:val="22"/>
        </w:rPr>
        <w:t>注解：DFT+U 方法是标准 DFT 的修正版本。标准 DFT 对含有 d 或 f 电子的过渡金属氧化物/氢氧化物的电子结构描述不够准确，因为 d 电子之间的相互排斥作用（"在位库仑排斥"）比普通电子强得多。U 值就是描述这种额外排斥强度的"可调参数"。我们用磁矩（每个金属原子携带的"磁力"大小）来判断 U 值是否合理：如果计算出的磁矩接近理论最大值（高自旋极限），说明 U 值设定恰当。打个比方——U 值就像调整音箱的低音旋钮，我们通过对比播放出来的低音是否接近预期的"低频极限"来确认旋钮位置是否合适。</w:t>
      </w:r>
    </w:p>
    <w:p w14:paraId="2CA2FF60">
      <w:pPr>
        <w:spacing w:before="60" w:after="60" w:line="360" w:lineRule="auto"/>
      </w:pPr>
      <w:r>
        <w:rPr>
          <w:rFonts w:ascii="Times New Roman" w:hAnsi="Times New Roman" w:eastAsia="宋体" w:cs="Times New Roman" w:csTheme="minorBidi"/>
          <w:sz w:val="22"/>
          <w:szCs w:val="22"/>
        </w:rPr>
        <w:t>范德华相互作用采用 Grimme 的 DFT-D3(BJ) 校正（IVDW = 12，Becke-Johnson 阻尼）来描述。DFT-D3 描述的是长程色散相互作用，而 DFT+U 描述的是在位库仑排斥——二者在物理上针对不同的电子关联部分，不存在显著的重复计数风险。该组合已被广泛用于层状双金属氢氧化物的结构模拟，能够较好地捕获层间弱相互作用特征。</w:t>
      </w:r>
    </w:p>
    <w:p w14:paraId="25D473FF">
      <w:pPr>
        <w:spacing w:before="120" w:after="120" w:line="360" w:lineRule="auto"/>
        <w:ind w:left="567"/>
      </w:pPr>
      <w:r>
        <w:rPr>
          <w:rFonts w:ascii="Times New Roman" w:hAnsi="Times New Roman" w:eastAsia="楷体" w:cs="Times New Roman" w:csTheme="minorBidi"/>
          <w:b/>
          <w:bCs/>
          <w:color w:val="707070"/>
          <w:sz w:val="20"/>
          <w:szCs w:val="22"/>
        </w:rPr>
        <w:t>批注 [#6 D3与PBE+U兼容性]</w:t>
      </w:r>
      <w:r>
        <w:rPr>
          <w:rFonts w:ascii="Times New Roman" w:hAnsi="Times New Roman" w:eastAsia="楷体" w:cs="Times New Roman" w:csTheme="minorBidi"/>
          <w:color w:val="707070"/>
          <w:sz w:val="20"/>
          <w:szCs w:val="22"/>
        </w:rPr>
        <w:t>批注 [#6 D3与PBE+U兼容性]</w:t>
      </w:r>
      <w:r>
        <w:rPr>
          <w:rFonts w:ascii="Times New Roman" w:hAnsi="Times New Roman" w:eastAsia="楷体" w:cs="Times New Roman" w:csTheme="minorBidi"/>
          <w:color w:val="707070"/>
          <w:sz w:val="20"/>
          <w:szCs w:val="22"/>
        </w:rPr>
        <w:t>: DFT-D3 与 PBE+U 物理分离的说明。审稿人若追问可进一步引用文献支持此组合的可靠性。</w:t>
      </w:r>
    </w:p>
    <w:p w14:paraId="5E169D91">
      <w:pPr>
        <w:spacing w:before="60" w:after="60" w:line="360" w:lineRule="auto"/>
      </w:pPr>
      <w:r>
        <w:rPr>
          <w:rFonts w:ascii="Times New Roman" w:hAnsi="Times New Roman" w:eastAsia="宋体" w:cs="Times New Roman" w:csTheme="minorBidi"/>
          <w:sz w:val="22"/>
          <w:szCs w:val="22"/>
        </w:rPr>
        <w:t>所有计算统一采用 520 eV 的平面波截断能。布里渊区采用 Monkhorst-Pack k 点网格采样，弛豫计算的倒易密度不低于 120 Å³ 每 k 点，静态计算为 150 Å³ 每 k 点。k 点收敛测试分别对三种代表性结构进行了验证：CMCH bulk（120 原子）、LDH slab（60 原子）和本征异质结（120 原子），每个结构在 32 至 200 的 8 个倒易密度上完成静态自洽计算。CMCH bulk 的收敛表现优异（k=100→200 能量变化 &lt; 0.001 meV/atom）。含真空层的 slab 和异质结体系（异质结和 CMCH 体相）在倒易密度 ≥ 120 Å³时能量变化 &lt; 0.12 meV/atom（详见表 S1），证明所选计算参数满足收敛要求。</w:t>
      </w:r>
    </w:p>
    <w:p w14:paraId="61632A2D">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：k 点是 DFT 计算中用于采样电子态的"虚拟网格点"——想象在晶体中取一个代表性区域，用越来越密的网格去探测这个区域的电子行为。当网格密度增加到一定程度后，继续加密网格对计算结果的影响微乎其微（即"收敛"）。我们测试了网格从 32 加密到 200 的过程中能量的变化，确认所选密度（120-150）已经足够精确。</w:t>
      </w:r>
    </w:p>
    <w:p w14:paraId="30D17096">
      <w:pPr>
        <w:spacing w:before="60" w:after="60" w:line="360" w:lineRule="auto"/>
      </w:pPr>
      <w:r>
        <w:rPr>
          <w:rFonts w:ascii="Times New Roman" w:hAnsi="Times New Roman" w:eastAsia="宋体" w:cs="Times New Roman" w:csTheme="minorBidi"/>
          <w:sz w:val="22"/>
          <w:szCs w:val="22"/>
        </w:rPr>
        <w:t>收敛标准设为离子力 0.05 eV Å⁻¹；电子自洽收敛在弛豫阶段为 10⁻⁵ eV，静态计算为 10⁻⁶ eV。弛豫计算采用高斯展宽（SIGMA = 0.05 eV），静态和态密度（DOS）计算则采用含 Blöchl 修正的四面体方法（ISMEAR = -5）。</w:t>
      </w:r>
    </w:p>
    <w:p w14:paraId="0A2AC387">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："弛豫"是让原子位置在力的作用下逐渐移动到最低能量位置的过程——就像让弹珠在碗里滚动直到停在最低点。"静态"则是固定原子位置、精确计算总能量的单次计算。"10⁻⁵ eV"意味着能量精度到 0.00001 eV，这个精度远超实验测量的灵敏度（通常为 meV 即 0.001 eV 量级）。</w:t>
      </w:r>
    </w:p>
    <w:p w14:paraId="3A34CABE">
      <w:pPr>
        <w:spacing w:before="60" w:after="60" w:line="360" w:lineRule="auto"/>
      </w:pPr>
      <w:r>
        <w:rPr>
          <w:rFonts w:ascii="Times New Roman" w:hAnsi="Times New Roman" w:eastAsia="宋体" w:cs="Times New Roman" w:csTheme="minorBidi"/>
          <w:sz w:val="22"/>
          <w:szCs w:val="22"/>
        </w:rPr>
        <w:t>所有计算均在 GPU 加速节点上使用 VASP GPU 移植版本运行。非自洽（NSCF）能带和态密度计算设置 KPAR = 2 和 NCORE = 4；弛豫和静态阶段采用 VASP 默认并行设置。对所有 slab 和异质结计算沿表面法线方向施加偶极修正（LDIPOL = TRUE, IDIPOL = 3），以消除由不对称表面终止引起的人为静电场。对于偶极修正后的计算，我们通过检查静电势曲线在真空区的平坦性来确认修正效果：对于大多数体系，真空区静电势波动 &lt; 0.05 eV，表明偶极修正充分；对于翻转掺杂（slab-flip）体系，由于硫掺杂剂接近表面导致偶极矩变化较大，真空区平坦性需要额外谨慎对待。</w:t>
      </w:r>
    </w:p>
    <w:p w14:paraId="1F272629">
      <w:pPr>
        <w:spacing w:before="120" w:after="120" w:line="360" w:lineRule="auto"/>
        <w:ind w:left="567"/>
      </w:pPr>
      <w:r>
        <w:rPr>
          <w:rFonts w:ascii="Times New Roman" w:hAnsi="Times New Roman" w:eastAsia="楷体" w:cs="Times New Roman" w:csTheme="minorBidi"/>
          <w:b/>
          <w:bCs/>
          <w:color w:val="707070"/>
          <w:sz w:val="20"/>
          <w:szCs w:val="22"/>
        </w:rPr>
        <w:t>批注 [#4 偶极修正检查]</w:t>
      </w:r>
      <w:r>
        <w:rPr>
          <w:rFonts w:ascii="Times New Roman" w:hAnsi="Times New Roman" w:eastAsia="楷体" w:cs="Times New Roman" w:csTheme="minorBidi"/>
          <w:color w:val="707070"/>
          <w:sz w:val="20"/>
          <w:szCs w:val="22"/>
        </w:rPr>
        <w:t>批注 [#4 偶极修正检查]: 建议从 LOCPOT 数据中确认各体系真空区的实际平坦性，并在 SI 中放静电势曲线图。翻转掺杂体系可能需要单独验证。</w:t>
      </w:r>
      <w:r>
        <w:br w:type="textWrapping"/>
      </w:r>
      <w:r>
        <w:rPr>
          <w:rFonts w:ascii="Times New Roman" w:hAnsi="Times New Roman" w:eastAsia="楷体" w:cs="Times New Roman" w:csTheme="minorBidi"/>
          <w:color w:val="707070"/>
          <w:sz w:val="20"/>
          <w:szCs w:val="22"/>
        </w:rPr>
        <w:t>&gt;</w:t>
      </w:r>
      <w:r>
        <w:br w:type="textWrapping"/>
      </w:r>
      <w:r>
        <w:rPr>
          <w:rFonts w:ascii="Times New Roman" w:hAnsi="Times New Roman" w:eastAsia="楷体" w:cs="Times New Roman" w:csTheme="minorBidi"/>
          <w:color w:val="707070"/>
          <w:sz w:val="20"/>
          <w:szCs w:val="22"/>
        </w:rPr>
        <w:t xml:space="preserve">&gt; </w:t>
      </w:r>
      <w:r>
        <w:rPr>
          <w:rFonts w:ascii="Times New Roman" w:hAnsi="Times New Roman" w:eastAsia="楷体" w:cs="Times New Roman" w:csTheme="minorBidi"/>
          <w:b/>
          <w:bCs/>
          <w:color w:val="707070"/>
          <w:sz w:val="20"/>
          <w:szCs w:val="22"/>
        </w:rPr>
        <w:t>注解</w:t>
      </w:r>
      <w:r>
        <w:rPr>
          <w:rFonts w:ascii="Times New Roman" w:hAnsi="Times New Roman" w:eastAsia="楷体" w:cs="Times New Roman" w:csTheme="minorBidi"/>
          <w:color w:val="707070"/>
          <w:sz w:val="20"/>
          <w:szCs w:val="22"/>
        </w:rPr>
        <w:t>注解：偶极修正解决的是 slab 模型的一个"人为问题"——当我们从晶体中切出一片薄片（slab）并加上真空层时，如果 slab 的上表面和下表面不等价（例如一个有原子伸出、一个平坦），就会在真空区域产生虚假的电场。这就像在天平的一侧多放了一个小砝码。偶极修正就是把这个"虚假砝码"拿掉。</w:t>
      </w:r>
    </w:p>
    <w:p w14:paraId="3AEFC7EB">
      <w:pPr>
        <w:pStyle w:val="Heading3"/>
        <w:spacing w:before="240" w:after="120" w:line="360" w:lineRule="auto"/>
      </w:pPr>
      <w:r>
        <w:rPr>
          <w:rFonts w:ascii="Times New Roman" w:hAnsi="Times New Roman" w:eastAsia="宋体" w:cs="Times New Roman" w:csTheme="majorBidi"/>
          <w:b/>
          <w:bCs/>
          <w:color w:val="4F81BD" w:themeColor="accent1"/>
          <w:sz w:val="26"/>
          <w:szCs w:val="22"/>
        </w:rPr>
        <w:t>模型构建策略</w:t>
      </w:r>
    </w:p>
    <w:p w14:paraId="55786770">
      <w:pPr>
        <w:spacing w:before="60" w:after="60" w:line="360" w:lineRule="auto"/>
      </w:pPr>
      <w:r>
        <w:rPr>
          <w:rFonts w:ascii="Times New Roman" w:hAnsi="Times New Roman" w:eastAsia="宋体" w:cs="Times New Roman" w:csTheme="minorBidi"/>
          <w:sz w:val="22"/>
          <w:szCs w:val="22"/>
        </w:rPr>
        <w:t>模拟工作流程包含四个层级：体相优化、表面 slab 构建、slab 弛豫和异质结组装。LDH 组分建模为 3 × 2 × 2 正交超胞中的 Co₁₂Ni₁₂(OH)₄₈（120 个原子，晶格参数 a = 9.47 Å, b = 10.91 Å, c = 9.03 Å）。</w:t>
      </w:r>
    </w:p>
    <w:p w14:paraId="6AD05C9E">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：超胞（supercell）就是把晶体的最小"重复单元"（原胞）沿三个方向分别复制多次形成的更大晶胞。3×2×2 表示沿 a 方向复制 3 次、b 方向 2 次、c 方向 2 次，总共 12 个原胞。这样做有几个原因：（1）单个原胞只含 1 个 Co 和 1 个 Ni 原子，太小了无法描述 Co 和 Ni 的随机分布；（2）当我们想在一个确定的位置放一个 S 原子进行"掺杂"时，需要足够的晶胞空间来避免掺杂原子与它在相邻晶胞中的"镜像"发生相互作用。120 原子是平衡计算成本和物理合理性的典型规模。</w:t>
      </w:r>
    </w:p>
    <w:p w14:paraId="7F608D53">
      <w:pPr>
        <w:spacing w:before="60" w:after="60" w:line="360" w:lineRule="auto"/>
      </w:pPr>
      <w:r>
        <w:rPr>
          <w:rFonts w:ascii="Times New Roman" w:hAnsi="Times New Roman" w:eastAsia="宋体" w:cs="Times New Roman" w:csTheme="minorBidi"/>
          <w:sz w:val="22"/>
          <w:szCs w:val="22"/>
        </w:rPr>
        <w:t>为确定硫的优先取代位点，构建并比较了五种不同的掺杂构型：四种 SH⁻ 型取代（Co/Ni 配位环境分别为 3Co、3Ni、Co1Ni2、Co2Ni1）和一种不含氢的 S²⁻ 型取代，每个构型包含一个硫原子取代层板中的一个 OH⁻ 位置。值得注意的是，实验 LDH 层板间存在 NO₃⁻ 和 CO₃²⁻ 等层间阴离子（图 2b FTIR 的 ~1380 cm⁻¹ 峰位证实），但当前模型未包含层间阴离子，以保持计算可行性并聚焦于层板电子结构本身。需要指出的是，层间阴离子的缺失会对静电势的绝对值和长程库仑环境产生不可忽略的影响，尤其在异质结界面的能带对齐中可能引入系统偏移。</w:t>
      </w:r>
    </w:p>
    <w:p w14:paraId="0F2EA40D">
      <w:pPr>
        <w:spacing w:before="120" w:after="120" w:line="360" w:lineRule="auto"/>
        <w:ind w:left="567"/>
      </w:pPr>
      <w:r>
        <w:rPr>
          <w:rFonts w:ascii="Times New Roman" w:hAnsi="Times New Roman" w:eastAsia="楷体" w:cs="Times New Roman" w:csTheme="minorBidi"/>
          <w:b/>
          <w:bCs/>
          <w:color w:val="707070"/>
          <w:sz w:val="20"/>
          <w:szCs w:val="22"/>
        </w:rPr>
        <w:t>批注 [#7 界面偶极+阴离子缺失]</w:t>
      </w:r>
      <w:r>
        <w:rPr>
          <w:rFonts w:ascii="Times New Roman" w:hAnsi="Times New Roman" w:eastAsia="楷体" w:cs="Times New Roman" w:csTheme="minorBidi"/>
          <w:color w:val="707070"/>
          <w:sz w:val="20"/>
          <w:szCs w:val="22"/>
        </w:rPr>
        <w:t>批注 [#7 界面偶极+阴离子缺失]</w:t>
      </w:r>
      <w:r>
        <w:rPr>
          <w:rFonts w:ascii="Times New Roman" w:hAnsi="Times New Roman" w:eastAsia="楷体" w:cs="Times New Roman" w:csTheme="minorBidi"/>
          <w:color w:val="707070"/>
          <w:sz w:val="20"/>
          <w:szCs w:val="22"/>
        </w:rPr>
        <w:t>: 阴离子缺失对静电势影响的说明。建议在后处理分析中对 LDH slab 的总净电荷进行确认和报告。</w:t>
      </w:r>
    </w:p>
    <w:p w14:paraId="5BC7D727">
      <w:pPr>
        <w:spacing w:before="60" w:after="60" w:line="360" w:lineRule="auto"/>
      </w:pPr>
      <w:r>
        <w:rPr>
          <w:rFonts w:ascii="Times New Roman" w:hAnsi="Times New Roman" w:eastAsia="宋体" w:cs="Times New Roman" w:csTheme="minorBidi"/>
          <w:sz w:val="22"/>
          <w:szCs w:val="22"/>
        </w:rPr>
        <w:t>CMCH 基底源自 Co₂(OH)₂CO₃ 结构（mp-1202876），该结构属于 P2₁/c 空间群（a = 3.20 Å, b = 12.31 Å, c = 9.67 Å）。该结构含有两种 Co 配位位点：四面体（与 4 个氧配位）和八面体（与 6 个氧配位），各占一半。鉴于 Mn²⁺ 在碳酸盐体系中优先占据八面体位置，我们将四个八面体 Co 原子替换为 Mn，得到 CoMn(CO₃)(OH)₂。这样一来，结构中所有的八面体位均由 Mn 占据，而四面体位保留 Co，与实验合成中采用的等摩尔 Co:Mn 比一致。X 射线衍射（XRD）实验谱图的计算验证表明，模型在 33.34°（3,0,-2 晶面）处的主峰与实验观测的 33.65° 吻合良好（差值约 0.31°），确认了结构模型的合理性。</w:t>
      </w:r>
    </w:p>
    <w:p w14:paraId="0E2E8B7B">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：配位环境指金属原子周围有多少个氧原子与其成键。四面体 = 4 个氧围绕（类似金字塔的四个顶点），八面体 = 6 个氧围绕（类似两个四棱锥底对底）。在晶体场理论中，不同配位环境的金属离子具有不同的电子轨道分裂方式和稳定性。Mn²⁺ 离子（d⁵ 电子构型）在八面体场中获得额外的稳定化能（晶体场稳定化能），所以它优先占据八面体位。这个过程在 XRD 中能够反映为特定衍射峰的强度变化。</w:t>
      </w:r>
    </w:p>
    <w:p w14:paraId="33C96302">
      <w:pPr>
        <w:spacing w:before="60" w:after="60" w:line="360" w:lineRule="auto"/>
      </w:pPr>
      <w:r>
        <w:rPr>
          <w:rFonts w:ascii="Times New Roman" w:hAnsi="Times New Roman" w:eastAsia="宋体" w:cs="Times New Roman" w:csTheme="minorBidi"/>
          <w:sz w:val="22"/>
          <w:szCs w:val="22"/>
        </w:rPr>
        <w:t>表面 slab 通过沿 LDH 的（001）面和 CMCH 的（010）面对优化后的体相结构进行解离构建，沿 c 轴方向设置约 15 Å 的真空层。slab 厚度约为 4-6 Å（每 slab 60 个原子），弛豫过程中底部三分之一的原子保持固定以模拟半无限大体相条件。</w:t>
      </w:r>
    </w:p>
    <w:p w14:paraId="3578249E">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：Slab（板）模型是 DFT 处理表面的标准方法——把晶体沿着某个晶面"切开"，形成一片薄片，上面留出一段"真空区域"来模拟表面。相当于你从一块奶酪中切出一片薄片，然后把它悬空放置，研究它的表面性质。真空层的作用是防止周期性排列的 slab 片层之间相互干扰。"固定底部原子"是为了模拟表面以下还有无限厚的体相材料——如果我们把整块奶酪切出一片后，让底部自由变形，就会失去"下面还有奶酪"的物理意义。</w:t>
      </w:r>
    </w:p>
    <w:p w14:paraId="11B3A39F">
      <w:pPr>
        <w:spacing w:before="120" w:after="120" w:line="360" w:lineRule="auto"/>
        <w:ind w:left="567"/>
      </w:pPr>
      <w:r>
        <w:rPr>
          <w:rFonts w:ascii="Times New Roman" w:hAnsi="Times New Roman" w:eastAsia="楷体" w:cs="Times New Roman" w:csTheme="minorBidi"/>
          <w:b/>
          <w:bCs/>
          <w:color w:val="707070"/>
          <w:sz w:val="20"/>
          <w:szCs w:val="22"/>
        </w:rPr>
        <w:t>批注 [#3 体相区可靠性]</w:t>
      </w:r>
      <w:r>
        <w:rPr>
          <w:rFonts w:ascii="Times New Roman" w:hAnsi="Times New Roman" w:eastAsia="楷体" w:cs="Times New Roman" w:csTheme="minorBidi"/>
          <w:color w:val="707070"/>
          <w:sz w:val="20"/>
          <w:szCs w:val="22"/>
        </w:rPr>
        <w:t>批注 [#3 体相区可靠性]: 以下两段是能带对齐方法的关键局限，需特别注意。LDH slab 仅含单层金属原子，z 方向厚度仅约 4 Å，用于平均势方法（Van de Walle &amp; Martin）的体相参考区（slab 中间 40%）实际上只有 ~1.6 Å 的静电势数据。如此短的区间不足以使平面平均静电势收敛到具有体相平移对称性的平台值。因此，能带对齐中的 LDH 参考势值（V_ref_LDH）存在较大不确定性。</w:t>
      </w:r>
      <w:r>
        <w:br w:type="textWrapping"/>
      </w:r>
      <w:r>
        <w:rPr>
          <w:rFonts w:ascii="Times New Roman" w:hAnsi="Times New Roman" w:eastAsia="楷体" w:cs="Times New Roman" w:csTheme="minorBidi"/>
          <w:color w:val="707070"/>
          <w:sz w:val="20"/>
          <w:szCs w:val="22"/>
        </w:rPr>
        <w:t>&gt;</w:t>
      </w:r>
      <w:r>
        <w:br w:type="textWrapping"/>
      </w:r>
      <w:r>
        <w:rPr>
          <w:rFonts w:ascii="Times New Roman" w:hAnsi="Times New Roman" w:eastAsia="楷体" w:cs="Times New Roman" w:csTheme="minorBidi"/>
          <w:color w:val="707070"/>
          <w:sz w:val="20"/>
          <w:szCs w:val="22"/>
        </w:rPr>
        <w:t>&gt; 定量估计：如果体相区厚度增加至 6-8 Å（需要 2-3 层原子的 slab），参考势的统计误差可降低约 2-3 倍，但现有单层模型无法实现。</w:t>
      </w:r>
      <w:r>
        <w:br w:type="textWrapping"/>
      </w:r>
      <w:r>
        <w:rPr>
          <w:rFonts w:ascii="Times New Roman" w:hAnsi="Times New Roman" w:eastAsia="楷体" w:cs="Times New Roman" w:csTheme="minorBidi"/>
          <w:color w:val="707070"/>
          <w:sz w:val="20"/>
          <w:szCs w:val="22"/>
        </w:rPr>
        <w:t>&gt;</w:t>
      </w:r>
      <w:r>
        <w:br w:type="textWrapping"/>
      </w:r>
      <w:r>
        <w:rPr>
          <w:rFonts w:ascii="Times New Roman" w:hAnsi="Times New Roman" w:eastAsia="楷体" w:cs="Times New Roman" w:csTheme="minorBidi"/>
          <w:color w:val="707070"/>
          <w:sz w:val="20"/>
          <w:szCs w:val="22"/>
        </w:rPr>
        <w:t xml:space="preserve">&gt; </w:t>
      </w:r>
      <w:r>
        <w:rPr>
          <w:rFonts w:ascii="Times New Roman" w:hAnsi="Times New Roman" w:eastAsia="楷体" w:cs="Times New Roman" w:csTheme="minorBidi"/>
          <w:b/>
          <w:bCs/>
          <w:color w:val="707070"/>
          <w:sz w:val="20"/>
          <w:szCs w:val="22"/>
        </w:rPr>
        <w:t>建议</w:t>
      </w:r>
      <w:r>
        <w:rPr>
          <w:rFonts w:ascii="Times New Roman" w:hAnsi="Times New Roman" w:eastAsia="楷体" w:cs="Times New Roman" w:csTheme="minorBidi"/>
          <w:color w:val="707070"/>
          <w:sz w:val="20"/>
          <w:szCs w:val="22"/>
        </w:rPr>
        <w:t>建议: 在提交前用 2 层 LDH slab 做一次验证计算，或至少将 "半定量" 改为更保守的表述，并给出不确定度的定量估计。</w:t>
      </w:r>
    </w:p>
    <w:p w14:paraId="5EDAE104">
      <w:pPr>
        <w:spacing w:before="60" w:after="60" w:line="360" w:lineRule="auto"/>
      </w:pPr>
      <w:r>
        <w:rPr>
          <w:rFonts w:ascii="Times New Roman" w:hAnsi="Times New Roman" w:eastAsia="宋体" w:cs="Times New Roman" w:csTheme="minorBidi"/>
          <w:sz w:val="22"/>
          <w:szCs w:val="22"/>
        </w:rPr>
        <w:t>需要注意，LDH slab 仅包含单层金属原子，体相区厚度不足以支持常规的能带对齐平均势法——其实际可用的 "体相参考区" 仅约 1.6 Å（z 方向约 3-4 个网格点），远低于严格收敛所需的最小平台区（通常要求 ≥ 5 Å），因此能带对齐结果应仅视为定性趋势，报告中不给出具体的能带偏移绝对值（预计不确定度 ≥ 0.3 eV）。这项工作将在后续研究中通过更厚的 slab 模型进行验证。</w:t>
      </w:r>
    </w:p>
    <w:p w14:paraId="1727CAE3">
      <w:pPr>
        <w:spacing w:before="120" w:after="120" w:line="360" w:lineRule="auto"/>
        <w:ind w:left="567"/>
      </w:pPr>
      <w:r>
        <w:rPr>
          <w:rFonts w:ascii="Times New Roman" w:hAnsi="Times New Roman" w:eastAsia="楷体" w:cs="Times New Roman" w:csTheme="minorBidi"/>
          <w:b/>
          <w:bCs/>
          <w:color w:val="707070"/>
          <w:sz w:val="20"/>
          <w:szCs w:val="22"/>
        </w:rPr>
        <w:t>批注 [#3 续]</w:t>
      </w:r>
      <w:r>
        <w:rPr>
          <w:rFonts w:ascii="Times New Roman" w:hAnsi="Times New Roman" w:eastAsia="楷体" w:cs="Times New Roman" w:csTheme="minorBidi"/>
          <w:color w:val="707070"/>
          <w:sz w:val="20"/>
          <w:szCs w:val="22"/>
        </w:rPr>
        <w:t>批注 [#3 续]</w:t>
      </w:r>
      <w:r>
        <w:rPr>
          <w:rFonts w:ascii="Times New Roman" w:hAnsi="Times New Roman" w:eastAsia="楷体" w:cs="Times New Roman" w:csTheme="minorBidi"/>
          <w:color w:val="707070"/>
          <w:sz w:val="20"/>
          <w:szCs w:val="22"/>
        </w:rPr>
        <w:t>: 这是一个诚实的表述，审稿人可能会认可这种坦率但可能仍要求补充计算。</w:t>
      </w:r>
    </w:p>
    <w:p w14:paraId="4B5DC475">
      <w:pPr>
        <w:spacing w:before="60" w:after="60" w:line="360" w:lineRule="auto"/>
      </w:pPr>
      <w:r>
        <w:rPr>
          <w:rFonts w:ascii="Times New Roman" w:hAnsi="Times New Roman" w:eastAsia="宋体" w:cs="Times New Roman" w:csTheme="minorBidi"/>
          <w:sz w:val="22"/>
          <w:szCs w:val="22"/>
        </w:rPr>
        <w:t>异质结采用 pymatgen 的 Interface.from_slabs 方法进行组装，初始表面间间距经扫描优化选定为 1.0 Å。为适应 LDH（001）（10.91 × 9.47 Å²）和 CMCH（010）（9.74 × 9.45 Å²）之间的晶格失配，采用平均面内晶格 a = 10.33 Å, b = 9.46 Å，对每个组分施加约 5-6% 的面内应变（主要沿 a 方向，b 方向应变 &lt; 0.1%）。如此大小的应变对电子结构（带隙、d-band center）有不可忽略的影响。据文献报道，4-5% 的面内应变可使过渡金属氢氧化物的 d-band center 偏移 0.2-0.4 eV，带隙变化可达 0.1-0.3 eV [需补充引文]。</w:t>
      </w:r>
    </w:p>
    <w:p w14:paraId="74584C7F">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晶格失配是异质结研究中的核心问题——当两种晶体的原子排列周期不同时，要把它们"粘"在一起就必须让其中一方（或双方）稍微变形，就像用力把两块不同孔径的乐高积木拼在一起。我们计算发现，这种变形主要沿一个方向（a 方向）发生约 5-6%，而另一个方向几乎不变形。5% 的应变其实不小——相当于把一根 1 米长的金属棒拉长或压缩 5 厘米，已经处于弹性形变的极限附近。这也是为什么我们用"Level 2"策略将应变效应分离出来单独评估。</w:t>
      </w:r>
    </w:p>
    <w:p w14:paraId="6B551104">
      <w:pPr>
        <w:spacing w:before="60" w:after="60" w:line="360" w:lineRule="auto"/>
      </w:pPr>
      <w:r>
        <w:rPr>
          <w:rFonts w:ascii="Times New Roman" w:hAnsi="Times New Roman" w:eastAsia="宋体" w:cs="Times New Roman" w:csTheme="minorBidi"/>
          <w:sz w:val="22"/>
          <w:szCs w:val="22"/>
        </w:rPr>
        <w:t>为严格分离应变效应与界面效应对能带对齐的贡献，并实现 3D 差分电荷密度的精确计算，我们采用晶格一致策略（Level 2）：从已收敛的异质结结构中分别提取受应变的 LDH 和 CMCH 组分，重新进行静态和 DOS 计算，作为能带对齐的参考。所有 7 个 Level 2 体系（4 个应变 slab 和 3 个异质结）共享同一套面内晶格参数（a = 10.3255 Å, b = 9.4602 Å）和真空层厚度（c = 28.0 Å），在相同的倒易空间 FFT 网格（160 × 140 × 420）上完成计算，确保各体系的 3D 电子密度数据可直接进行逐点差分（无需插值）。在此应变条件下，本研究中的所有比较均在相同应变状态下进行（所有异质结及应变 slab 共用同一晶格参数），因此本征与掺杂体系之间的相对差异不受应变的影响，定性结论可靠。</w:t>
      </w:r>
    </w:p>
    <w:p w14:paraId="72157BF9">
      <w:pPr>
        <w:spacing w:before="120" w:after="120" w:line="360" w:lineRule="auto"/>
        <w:ind w:left="567"/>
      </w:pPr>
      <w:r>
        <w:rPr>
          <w:rFonts w:ascii="Times New Roman" w:hAnsi="Times New Roman" w:eastAsia="楷体" w:cs="Times New Roman" w:csTheme="minorBidi"/>
          <w:b/>
          <w:bCs/>
          <w:color w:val="707070"/>
          <w:sz w:val="20"/>
          <w:szCs w:val="22"/>
        </w:rPr>
        <w:t>批注 [#8 Level 2 实施完成]</w:t>
      </w:r>
      <w:r>
        <w:rPr>
          <w:rFonts w:ascii="Times New Roman" w:hAnsi="Times New Roman" w:eastAsia="楷体" w:cs="Times New Roman" w:csTheme="minorBidi"/>
          <w:color w:val="707070"/>
          <w:sz w:val="20"/>
          <w:szCs w:val="22"/>
        </w:rPr>
        <w:t>批注 [#8 Level 2 实施完成]</w:t>
      </w:r>
      <w:r>
        <w:rPr>
          <w:rFonts w:ascii="Times New Roman" w:hAnsi="Times New Roman" w:eastAsia="楷体" w:cs="Times New Roman" w:csTheme="minorBidi"/>
          <w:color w:val="707070"/>
          <w:sz w:val="20"/>
          <w:szCs w:val="22"/>
        </w:rPr>
        <w:t>: [已实施] Level 2 晶格一致策略已完成。所有 7 个体系（4 个应变 slab + 3 个异质结）共享同一晶格（a=10.3255, b=9.4602, c=28.0），FFT 网格 (160,140,420) 全同。相比于之前使用自然晶格 slab 或 gap=2.0 的初始建模，Level 2 数据为能带对齐、功函数分析和界面差分电荷密度分析提供了自洽的参考基准。</w:t>
      </w:r>
    </w:p>
    <w:p w14:paraId="0EB50B10">
      <w:pPr>
        <w:spacing w:before="60" w:after="60" w:line="360" w:lineRule="auto"/>
      </w:pPr>
      <w:r>
        <w:rPr>
          <w:rFonts w:ascii="Times New Roman" w:hAnsi="Times New Roman" w:eastAsia="宋体" w:cs="Times New Roman" w:csTheme="minorBidi"/>
          <w:sz w:val="22"/>
          <w:szCs w:val="22"/>
        </w:rPr>
        <w:t>构建了三种异质结模型，仅在 LDH 层中硫掺杂剂的位置上有所区别：（i）本征异质结（无硫 LDH），（ii）S 掺杂异质结（硫位于 LDH 内部，远离 CMCH 界面），以及（iii）S 暴露异质结（硫位于界面附近）。在所有异质结计算中，LDH slab 的上半部分允许完全弛豫，而 CMCH 基底的下半部分采用 z 方向约束（TTF 约束），允许面内原子位置弛豫以部分释放应变，同时保持 z 方向的结构参考。</w:t>
      </w:r>
    </w:p>
    <w:p w14:paraId="041F43EE">
      <w:pPr>
        <w:pStyle w:val="Heading3"/>
        <w:spacing w:before="240" w:after="120" w:line="360" w:lineRule="auto"/>
      </w:pPr>
      <w:r>
        <w:rPr>
          <w:rFonts w:ascii="Times New Roman" w:hAnsi="Times New Roman" w:eastAsia="宋体" w:cs="Times New Roman" w:csTheme="majorBidi"/>
          <w:b/>
          <w:bCs/>
          <w:color w:val="4F81BD" w:themeColor="accent1"/>
          <w:sz w:val="26"/>
          <w:szCs w:val="22"/>
        </w:rPr>
        <w:t>后处理分析</w:t>
      </w:r>
    </w:p>
    <w:p w14:paraId="5C06B632">
      <w:pPr>
        <w:spacing w:before="60" w:after="60" w:line="360" w:lineRule="auto"/>
      </w:pPr>
      <w:r>
        <w:rPr>
          <w:rFonts w:ascii="Times New Roman" w:hAnsi="Times New Roman" w:eastAsia="宋体" w:cs="Times New Roman" w:csTheme="minorBidi"/>
          <w:sz w:val="22"/>
          <w:szCs w:val="22"/>
        </w:rPr>
        <w:t>电子结构分析采用 pymatgen 和 atomate2 完成。态密度（DOS）通过在倒易密度为 200 Å³ 的均匀 k 网格上进行非自洽计算获得，费米能级取自静态计算的输出结果。沿高对称路径的能带结构采用适用于 slab 几何结构的 Hinuma 约定生成。Bader 电荷分析采用 Henkelman 等人的算法，通过 pymatgen 中的 BaderAnalysis 封装进行，电荷转移定义为 Δq = ZVAL − ρ_Bader，其中正值表示电子损失、负值表示电子获得。需要指出的是，Bader 电荷的绝对值依赖于拓扑分割方案的选取，不同方法（如 DDEC、Hirshfeld、Voronoi）可能给出不同的绝对数值，因此本文的分析侧重于电荷转移的相对趋势。功函数从平面平均静电势（LOCPOT）中提取，通过识别真空区域中静电势的最大值作为真空能级，并基于 Φ = V_vacuum − E_Fermi 计算得到。所有计算均包含偶极修正，以确保真空静电势的平坦性和功函数的准确性。</w:t>
      </w:r>
    </w:p>
    <w:p w14:paraId="59A9130B">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：Bader 电荷是一种将电子密度"划分"给各个原子的方法。可以理解为：在一片电子密度的"地形图"上，找到原子之间的"山谷线"（电子密度极小值处），沿着这些分界线将空间切割成每个原子专属的"盆地"（Bader basin）。对每个 basin 内的电子进行积分，就得到该原子上"拥有"多少电子。而电荷转移 = 原子的自由价电子数 − Bader 积分电子数。正数表示该原子失去了电子（被夺走了），负数表示获得了电子。这个分析的目的不是给出"精确的原子电荷"（因为划分方案有任意性），而是比较掺杂前后电荷的变化趋势——是增加了还是减少了，这才是可靠的信息。</w:t>
      </w:r>
    </w:p>
    <w:p w14:paraId="0285960F">
      <w:pPr>
        <w:spacing w:before="60" w:after="60" w:line="360" w:lineRule="auto"/>
      </w:pPr>
      <w:r>
        <w:rPr>
          <w:rFonts w:ascii="Times New Roman" w:hAnsi="Times New Roman" w:eastAsia="宋体" w:cs="Times New Roman" w:csTheme="minorBidi"/>
          <w:sz w:val="22"/>
          <w:szCs w:val="22"/>
        </w:rPr>
        <w:t>界面电荷重分布分析采用静电势差分法：从异质结的 LOCPOT 中提取平面平均静电势 V(z)，减去对应组分参考 slab（相同应变状态）的平面平均静电势，得到 ΔV(z)。再通过泊松方程 Δρ(z) = −ε₀ · d²ΔV/dz² 反推电荷密度变化，并对界面区域积分获得净电荷转移量。此方法避免了直接 3D CHGCAR 相减时因原子位移导致的芯电子尖峰伪影。</w:t>
      </w:r>
    </w:p>
    <w:p w14:paraId="5270A2B2">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：当我们把两种材料接触时，界面处的电子会重新分布——就像两种液体接触时分子会相互扩散一样。我们的方法是通过测量界面处静电势的变化（ΔV）来间接推断电荷是如何移动的。泊松方程（Δρ ∝ d²ΔV/dz²）是一个描述静电势和电荷密度之间关系的物理定律——类似于：如果你知道一座山的形状（电势分布），就能算出它的质量分布（电荷密度）。我们选择这种方法而不是直接相减，是因为直接法会产生原子核心附近的巨大"尖峰"噪音，就像用显微镜时手的微小抖动导致图像模糊一样。</w:t>
      </w:r>
    </w:p>
    <w:p w14:paraId="3B6025E8">
      <w:pPr>
        <w:pBdr>
          <w:bottom w:val="single" w:sz="6" w:space="1" w:color="999999"/>
        </w:pBdr>
        <w:spacing w:before="120" w:after="120"/>
      </w:pPr>
    </w:p>
    <w:p w14:paraId="54B78248">
      <w:pPr>
        <w:pStyle w:val="Heading2"/>
        <w:spacing w:before="280" w:after="120" w:line="360" w:lineRule="auto"/>
      </w:pPr>
      <w:r>
        <w:rPr>
          <w:rFonts w:ascii="Times New Roman" w:hAnsi="Times New Roman" w:eastAsia="宋体" w:cs="Times New Roman" w:csTheme="majorBidi"/>
          <w:b/>
          <w:bCs/>
          <w:color w:val="4F81BD" w:themeColor="accent1"/>
          <w:sz w:val="30"/>
          <w:szCs w:val="26"/>
        </w:rPr>
        <w:t>结果与讨论</w:t>
      </w:r>
    </w:p>
    <w:p w14:paraId="3D54FE67">
      <w:pPr>
        <w:pStyle w:val="Heading3"/>
        <w:spacing w:before="240" w:after="120" w:line="360" w:lineRule="auto"/>
      </w:pPr>
      <w:r>
        <w:rPr>
          <w:rFonts w:ascii="Times New Roman" w:hAnsi="Times New Roman" w:eastAsia="宋体" w:cs="Times New Roman" w:csTheme="majorBidi"/>
          <w:b/>
          <w:bCs/>
          <w:color w:val="4F81BD" w:themeColor="accent1"/>
          <w:sz w:val="26"/>
          <w:szCs w:val="22"/>
        </w:rPr>
        <w:t>3.1. 硫掺杂构型的确定</w:t>
      </w:r>
    </w:p>
    <w:p w14:paraId="736EA1EF">
      <w:pPr>
        <w:spacing w:before="60" w:after="60" w:line="360" w:lineRule="auto"/>
      </w:pPr>
      <w:r>
        <w:rPr>
          <w:rFonts w:ascii="Times New Roman" w:hAnsi="Times New Roman" w:eastAsia="宋体" w:cs="Times New Roman" w:csTheme="minorBidi"/>
          <w:sz w:val="22"/>
          <w:szCs w:val="22"/>
        </w:rPr>
        <w:t>为建立硫掺入 LDH 宿主晶格的可靠原子尺度模型，我们系统比较了六种结构构型：一个本征（无硫）LDH 超胞和五种不同的硫掺杂变体，涵盖 SH⁻（质子化）和 S²⁻（去质子化）两种取代形式。相对热力学稳定性通过相对于本征结构的计算取代能进行评估，并包含源自分子参考态（½ H₂、½ O₂、⅛ S₈）的化学势修正。</w:t>
      </w:r>
    </w:p>
    <w:p w14:paraId="51F879F7">
      <w:pPr>
        <w:spacing w:before="120" w:after="120" w:line="360" w:lineRule="auto"/>
        <w:ind w:left="567"/>
      </w:pPr>
      <w:r>
        <w:rPr>
          <w:rFonts w:ascii="Times New Roman" w:hAnsi="Times New Roman" w:eastAsia="楷体" w:cs="Times New Roman" w:csTheme="minorBidi"/>
          <w:b/>
          <w:bCs/>
          <w:color w:val="707070"/>
          <w:sz w:val="20"/>
          <w:szCs w:val="22"/>
        </w:rPr>
        <w:t>批注 [#10 ZPE修正]</w:t>
      </w:r>
      <w:r>
        <w:rPr>
          <w:rFonts w:ascii="Times New Roman" w:hAnsi="Times New Roman" w:eastAsia="楷体" w:cs="Times New Roman" w:csTheme="minorBidi"/>
          <w:color w:val="707070"/>
          <w:sz w:val="20"/>
          <w:szCs w:val="22"/>
        </w:rPr>
        <w:t>批注 [#10 ZPE修正]</w:t>
      </w:r>
      <w:r>
        <w:rPr>
          <w:rFonts w:ascii="Times New Roman" w:hAnsi="Times New Roman" w:eastAsia="楷体" w:cs="Times New Roman" w:csTheme="minorBidi"/>
          <w:color w:val="707070"/>
          <w:sz w:val="20"/>
          <w:szCs w:val="22"/>
        </w:rPr>
        <w:t>: 当前形成能计算未包含分子参考态（H₂、O₂、S₈）的零点能（ZPE）修正。ZPE 修正的典型量级为 ~0.05-0.15 eV/原子，对最终 ΔE_f 的影响约为 0.1-0.3 eV。考虑到我们所做的比较侧重不同配位构型之间的相对趋势，此修正不影响排序结论。</w:t>
      </w:r>
    </w:p>
    <w:p w14:paraId="49750BE9">
      <w:pPr>
        <w:spacing w:before="60" w:after="60" w:line="360" w:lineRule="auto"/>
      </w:pPr>
      <w:r>
        <w:rPr>
          <w:rFonts w:ascii="Times New Roman" w:hAnsi="Times New Roman" w:eastAsia="宋体" w:cs="Times New Roman" w:csTheme="minorBidi"/>
          <w:sz w:val="22"/>
          <w:szCs w:val="22"/>
        </w:rPr>
        <w:t>在 SH⁻ 型构型中，形成能随 Co/Ni 配位环境的变化幅度适中，其中 Co₃ 配位构型和 Co₁Ni₂ 配位构型的形成能并列最低（均为 +1.63 eV），其后依次为 Co₂Ni₁（+1.65 eV）和 Ni₃（+1.72 eV）。这一趋势表明硫在 LDH 宿主晶格中更倾向于与钴配位而非镍，与 Co-S 键相对于 Ni-S 键更强的共价性一致。S²⁻（去质子化）构型表现出更高的形成能（+2.03 eV），在真空条件下热力学上不如 SH⁻ 形式有利。</w:t>
      </w:r>
    </w:p>
    <w:p w14:paraId="1503ADCA">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：形成能（formation energy）衡量的是将一个外来原子（S）塞入原有晶格（LDH）需要"花费"的能量——就像判断一个椅子能不能多塞一个人的能量代价。正值意味着在 0 K 真空中这个掺杂过程是耗能的，但我们的实验确实成功进行了 S 掺杂，说明实际反应条件的帮助很大：120 °C 的热运动提供了能量（就像摇晃帮助把最后一块拼图卡进去），溶剂环境也起到了降低能量壁垒的作用。</w:t>
      </w:r>
    </w:p>
    <w:p w14:paraId="190B2C98">
      <w:pPr>
        <w:spacing w:before="120" w:after="120" w:line="360" w:lineRule="auto"/>
        <w:ind w:left="567"/>
      </w:pPr>
      <w:r>
        <w:rPr>
          <w:rFonts w:ascii="Times New Roman" w:hAnsi="Times New Roman" w:eastAsia="楷体" w:cs="Times New Roman" w:csTheme="minorBidi"/>
          <w:b/>
          <w:bCs/>
          <w:color w:val="707070"/>
          <w:sz w:val="20"/>
          <w:szCs w:val="22"/>
        </w:rPr>
        <w:t>批注 [#5 正值形成能的讨论]</w:t>
      </w:r>
      <w:r>
        <w:rPr>
          <w:rFonts w:ascii="Times New Roman" w:hAnsi="Times New Roman" w:eastAsia="楷体" w:cs="Times New Roman" w:csTheme="minorBidi"/>
          <w:color w:val="707070"/>
          <w:sz w:val="20"/>
          <w:szCs w:val="22"/>
        </w:rPr>
        <w:t>批注 [#5 正值形成能的讨论]</w:t>
      </w:r>
      <w:r>
        <w:rPr>
          <w:rFonts w:ascii="Times New Roman" w:hAnsi="Times New Roman" w:eastAsia="楷体" w:cs="Times New Roman" w:csTheme="minorBidi"/>
          <w:color w:val="707070"/>
          <w:sz w:val="20"/>
          <w:szCs w:val="22"/>
        </w:rPr>
        <w:t>: 所有形成能均为正值，在 0 K 静态 DFT 框架下表明 S 掺杂在热力学上不利。然而，实验中 S 掺杂确实成功，说明有限温度效应和溶剂环境起到了关键作用：（1）碱性水热合成条件（120°C, pH &gt; 7）下熵贡献（TΔS ~ 0.3-0.5 eV）不可忽略；（2）S²⁻ 桥接 M-S-M 构型具有额外的晶格稳定化能，未包含在仅替换一个位点的形成能模型中；（3）溶液中 S 源的化学势与真空参考态存在差异。这些因素共同使得实际反应条件下的有效形成能低于真空 DFT 计算值。</w:t>
      </w:r>
    </w:p>
    <w:p w14:paraId="4D029191">
      <w:pPr>
        <w:spacing w:before="60" w:after="60" w:line="360" w:lineRule="auto"/>
      </w:pPr>
      <w:r>
        <w:rPr>
          <w:rFonts w:ascii="Times New Roman" w:hAnsi="Times New Roman" w:eastAsia="宋体" w:cs="Times New Roman" w:csTheme="minorBidi"/>
          <w:sz w:val="22"/>
          <w:szCs w:val="22"/>
        </w:rPr>
        <w:t>实验 XPS 谱图清楚地显示 S 2p 结合能在 161.8 和 163.0 eV 处，这是金属-硫（M-S）键的特征峰，其特征与我们的结构模型中 S-3p 与邻近过渡金属 d 态杂化的描述一致。在合成所采用的碱性水热条件（120°C, pH &gt; 7）下，SH⁻ 物种容易发生去质子化，并且 LDH 层板内的 S²⁻ 通过形成桥接 M-S-M 构型而获得额外稳定性，此部分稳定能未被真空静态计算所完全捕获。因此，我们采用去质子化的 S²⁻ 模型（CoNiOH2S-noH）作为所有后续 slab 和异质结计算的代表性掺杂构型，与实验 XPS 观测一致。</w:t>
      </w:r>
    </w:p>
    <w:p w14:paraId="4C728CF2">
      <w:pPr>
        <w:spacing w:before="120" w:after="120" w:line="360" w:lineRule="auto"/>
        <w:ind w:left="567"/>
      </w:pPr>
      <w:r>
        <w:rPr>
          <w:rFonts w:ascii="Times New Roman" w:hAnsi="Times New Roman" w:eastAsia="楷体" w:cs="Times New Roman" w:csTheme="minorBidi"/>
          <w:b/>
          <w:bCs/>
          <w:color w:val="707070"/>
          <w:sz w:val="20"/>
          <w:szCs w:val="22"/>
        </w:rPr>
        <w:t>批注 [#12 XPS与DFT比较]</w:t>
      </w:r>
      <w:r>
        <w:rPr>
          <w:rFonts w:ascii="Times New Roman" w:hAnsi="Times New Roman" w:eastAsia="楷体" w:cs="Times New Roman" w:csTheme="minorBidi"/>
          <w:color w:val="707070"/>
          <w:sz w:val="20"/>
          <w:szCs w:val="22"/>
        </w:rPr>
        <w:t>批注 [#12 XPS与DFT比较]</w:t>
      </w:r>
      <w:r>
        <w:rPr>
          <w:rFonts w:ascii="Times New Roman" w:hAnsi="Times New Roman" w:eastAsia="楷体" w:cs="Times New Roman" w:csTheme="minorBidi"/>
          <w:color w:val="707070"/>
          <w:sz w:val="20"/>
          <w:szCs w:val="22"/>
        </w:rPr>
        <w:t>: 已将原文 "XPS结合能...是M-S键而非S-H键的特征峰" 改为 "M-S键的特征峰...与S-3p与金属d态杂化的描述一致"，避免直接比较 XPS 结合能绝对值（激发态）与 DFT 基态轨道能级可能引发的争议。DFT 基态 KS 能级与 XPS 结合能之间无严格的定量对应关系，建议全文统一采用这种谨慎表述。</w:t>
      </w:r>
    </w:p>
    <w:p w14:paraId="6F94F71F">
      <w:pPr>
        <w:pStyle w:val="Heading3"/>
        <w:spacing w:before="240" w:after="120" w:line="360" w:lineRule="auto"/>
      </w:pPr>
      <w:r>
        <w:rPr>
          <w:rFonts w:ascii="Times New Roman" w:hAnsi="Times New Roman" w:eastAsia="宋体" w:cs="Times New Roman" w:csTheme="majorBidi"/>
          <w:b/>
          <w:bCs/>
          <w:color w:val="4F81BD" w:themeColor="accent1"/>
          <w:sz w:val="26"/>
          <w:szCs w:val="22"/>
        </w:rPr>
        <w:t>3.2. 体相电子结构及硫掺杂效应</w:t>
      </w:r>
    </w:p>
    <w:p w14:paraId="7743A094">
      <w:pPr>
        <w:spacing w:before="60" w:after="60" w:line="360" w:lineRule="auto"/>
      </w:pPr>
      <w:r>
        <w:rPr>
          <w:rFonts w:ascii="Times New Roman" w:hAnsi="Times New Roman" w:eastAsia="宋体" w:cs="Times New Roman" w:csTheme="minorBidi"/>
          <w:sz w:val="22"/>
          <w:szCs w:val="22"/>
        </w:rPr>
        <w:t>我们计算了三种体相体系（本征 CoNi-LDH、S 掺杂 CoNi-LDH 和 CMCH 基底）的电子能带结构和投影态密度（PDOS）。本征 CoNi-LDH 表现出 2.91 eV 的半导体带隙，价带顶由 Co-3d 和 Ni-3d 态主导，导带主要来源于金属 d 轨道贡献。CMCH 基底（应变 slab）显示出 2.43 eV 的直接带隙，其体相带隙为 2.13 eV，这是过渡金属碳酸盐氢氧化物的典型半导体特征。</w:t>
      </w:r>
    </w:p>
    <w:p w14:paraId="30980FCD">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：带隙（band gap）是电子从"价带"（可以理解为被原子牢牢束缚的电子）跳到"导带"（可以自由移动的电子）所需的能量。带隙越小，材料导电性越好。一个直观的类比：价带相当于"站在地面的人"，导带相当于"可以自由行走的屋顶"，带隙就是地面到屋顶的高度差——高度差越小，人（电子）越容易跳上去自由移动。2.91 eV 意味着需要近紫外光才能激发，属于典型的绝缘体/宽禁带半导体。而 0.05 eV 意味着室温热能就足以激发——所以 S 掺杂后的 LDH 几乎变成了导电体，这完美解释了实验 Rct 大幅下降的现象。</w:t>
      </w:r>
    </w:p>
    <w:p w14:paraId="2D390217">
      <w:pPr>
        <w:spacing w:before="60" w:after="60" w:line="360" w:lineRule="auto"/>
      </w:pPr>
      <w:r>
        <w:rPr>
          <w:rFonts w:ascii="Times New Roman" w:hAnsi="Times New Roman" w:eastAsia="宋体" w:cs="Times New Roman" w:csTheme="minorBidi"/>
          <w:sz w:val="22"/>
          <w:szCs w:val="22"/>
        </w:rPr>
        <w:t>引入硫掺杂后，观察到显著的带隙崩塌，从本征 LDH 的 2.91 eV 骤降至 S 掺杂 LDH 的仅 0.05 eV。PDOS 分析表明，这种带隙窄化源于宿主 LDH 的禁带中引入了 S-3p 态。这些 S-3p 轨道与邻近的 Co-3d 和 Ni-3d 态杂化，形成有效桥接价带和导带的带隙中间杂质带。费米能级附近的态密度显著增加，证实了缺陷诱导的近金属态的形成。这种电子结构调制为实验观察到的电荷转移电阻降低（Rct 从 0.78 降至 0.57 Ω）提供了直接的 DFT 层面解释，因为带隙中间态的引入显著提高了载流子浓度并促进了电极中的电荷传输。</w:t>
      </w:r>
    </w:p>
    <w:p w14:paraId="4215AC8A">
      <w:pPr>
        <w:spacing w:before="120" w:after="120" w:line="360" w:lineRule="auto"/>
        <w:ind w:left="567"/>
      </w:pPr>
      <w:r>
        <w:rPr>
          <w:rFonts w:ascii="Times New Roman" w:hAnsi="Times New Roman" w:eastAsia="楷体" w:cs="Times New Roman" w:csTheme="minorBidi"/>
          <w:b/>
          <w:bCs/>
          <w:color w:val="707070"/>
          <w:sz w:val="20"/>
          <w:szCs w:val="22"/>
        </w:rPr>
        <w:t>批注 [0.05 eV带隙的可靠性与自旋通道]</w:t>
      </w:r>
      <w:r>
        <w:rPr>
          <w:rFonts w:ascii="Times New Roman" w:hAnsi="Times New Roman" w:eastAsia="楷体" w:cs="Times New Roman" w:csTheme="minorBidi"/>
          <w:color w:val="707070"/>
          <w:sz w:val="20"/>
          <w:szCs w:val="22"/>
        </w:rPr>
        <w:t>批注 [0.05 eV带隙的可靠性与自旋通道]</w:t>
      </w:r>
      <w:r>
        <w:rPr>
          <w:rFonts w:ascii="Times New Roman" w:hAnsi="Times New Roman" w:eastAsia="楷体" w:cs="Times New Roman" w:csTheme="minorBidi"/>
          <w:color w:val="707070"/>
          <w:sz w:val="20"/>
          <w:szCs w:val="22"/>
        </w:rPr>
        <w:t>: 0.05 eV 的带隙在 PBE+U 框架下已接近金属态（约等于室温 k_BT 的 2 倍），可能存在自旋分辨的带隙不对称（一个自旋通道带隙为 0，另一个为有限值）。如果体系中有一个自旋通道是金属性的，则体系应描述为半金属（half-metal）而非半导体。建议在最终数据确认后明确说明两个自旋通道的带隙情况。</w:t>
      </w:r>
    </w:p>
    <w:p w14:paraId="47835699">
      <w:pPr>
        <w:spacing w:before="60" w:after="60" w:line="360" w:lineRule="auto"/>
      </w:pPr>
      <w:r>
        <w:rPr>
          <w:rFonts w:ascii="Times New Roman" w:hAnsi="Times New Roman" w:eastAsia="宋体" w:cs="Times New Roman" w:csTheme="minorBidi"/>
          <w:sz w:val="22"/>
          <w:szCs w:val="22"/>
        </w:rPr>
        <w:t>需要指出的是，PBE+U 方法在定量上可能低估带隙绝对值，且 DFT+U 带隙对 U 值存在一定依赖性。然而，硫掺杂引起的带隙相对变化趋势（从宽禁带半导体到近金属态）的定性结论预期在 U 值合理范围内是稳健的。磁矩验证（Co 2.75 μB、Ni 1.82 μB、Mn 4.68 μB 均接近高自旋极限）表明所选 U 值对 d 电子在位库仑作用的描述是合理的，在此条件下观察到的带隙崩塌具有物理意义。</w:t>
      </w:r>
    </w:p>
    <w:p w14:paraId="162202DE">
      <w:pPr>
        <w:spacing w:before="120" w:after="120" w:line="360" w:lineRule="auto"/>
        <w:ind w:left="567"/>
      </w:pPr>
      <w:r>
        <w:rPr>
          <w:rFonts w:ascii="Times New Roman" w:hAnsi="Times New Roman" w:eastAsia="楷体" w:cs="Times New Roman" w:csTheme="minorBidi"/>
          <w:b/>
          <w:bCs/>
          <w:color w:val="707070"/>
          <w:sz w:val="20"/>
          <w:szCs w:val="22"/>
        </w:rPr>
        <w:t>批注 [#1 U敏感性测试]</w:t>
      </w:r>
      <w:r>
        <w:rPr>
          <w:rFonts w:ascii="Times New Roman" w:hAnsi="Times New Roman" w:eastAsia="楷体" w:cs="Times New Roman" w:csTheme="minorBidi"/>
          <w:color w:val="707070"/>
          <w:sz w:val="20"/>
          <w:szCs w:val="22"/>
        </w:rPr>
        <w:t>批注 [#1 U敏感性测试]</w:t>
      </w:r>
      <w:r>
        <w:rPr>
          <w:rFonts w:ascii="Times New Roman" w:hAnsi="Times New Roman" w:eastAsia="楷体" w:cs="Times New Roman" w:csTheme="minorBidi"/>
          <w:color w:val="707070"/>
          <w:sz w:val="20"/>
          <w:szCs w:val="22"/>
        </w:rPr>
        <w:t>: 此项测试尚未实际进行，建议补充。正文中已改写为 "预期是稳健的" + "磁矩验证支持" 而不谎称做过测试。</w:t>
      </w:r>
    </w:p>
    <w:p w14:paraId="104FC47B">
      <w:pPr>
        <w:spacing w:before="60" w:after="60" w:line="360" w:lineRule="auto"/>
      </w:pPr>
      <w:r>
        <w:rPr>
          <w:rFonts w:ascii="Times New Roman" w:hAnsi="Times New Roman" w:eastAsia="宋体" w:cs="Times New Roman" w:csTheme="minorBidi"/>
          <w:sz w:val="22"/>
          <w:szCs w:val="22"/>
        </w:rPr>
        <w:t>Co d-band center 从本征 LDH 的 −0.57 eV（相对于费米能级）位移至 S 掺杂 LDH 的 −0.92 eV，下移约 0.35 eV，表明其远离费米能级、向更低能级移动。Ni d-band center 同样从 −2.69 eV 位移至 −2.96 eV，下移约 0.26 eV。这一 d-band center 的下移反映了硫取代引起的配体场变化和电荷再分布：由于硫（2.58）的电负性低于氧（3.44），用 S²⁻ 替换 OH⁻ 后，配体到金属的电荷给予减少，导致过渡金属 d 轨道有效占据数略降，d 带整体向低能级移动。这些 d-band center 的变化与电极-电解液界面处的吸附和电荷转移性质直接关联——d-band center 远离费米能级通常意味着表面吸附物（如 OH⁻、H₂O）的结合强度降低，有利于电化学反应的进行。</w:t>
      </w:r>
    </w:p>
    <w:p w14:paraId="5E640EA8">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：d-band center（d 带中心）可以理解为过渡金属原子 d 电子的"平均能量水平"。它和电化学有什么关系？在超级电容器中，电极表面的金属位点会吸附电解液中的离子/分子（如 OH⁻），吸附强度与 d-band center 的位置密切相关。d-band center 离费米能级越远（越往下移），表面吸附物就越不容易"粘死"在电极表面——也就是说，快速充放电过程中离子可以更快地吸附和脱附，有利于提高倍率性能。我们的计算发现 S 掺杂使 Co 的 d-band center 下移了约 0.35 eV、Ni 下移了约 0.26 eV，这解释了为什么 S 掺杂后的电极电阻更小、倍率性能更好。</w:t>
      </w:r>
    </w:p>
    <w:p w14:paraId="49326F06">
      <w:pPr>
        <w:pStyle w:val="Heading3"/>
        <w:spacing w:before="240" w:after="120" w:line="360" w:lineRule="auto"/>
      </w:pPr>
      <w:r>
        <w:rPr>
          <w:rFonts w:ascii="Times New Roman" w:hAnsi="Times New Roman" w:eastAsia="宋体" w:cs="Times New Roman" w:csTheme="majorBidi"/>
          <w:b/>
          <w:bCs/>
          <w:color w:val="4F81BD" w:themeColor="accent1"/>
          <w:sz w:val="26"/>
          <w:szCs w:val="22"/>
        </w:rPr>
        <w:t>3.3. Bader 电荷分析</w:t>
      </w:r>
    </w:p>
    <w:p w14:paraId="650AB6F3">
      <w:pPr>
        <w:spacing w:before="60" w:after="60" w:line="360" w:lineRule="auto"/>
      </w:pPr>
      <w:r>
        <w:rPr>
          <w:rFonts w:ascii="Times New Roman" w:hAnsi="Times New Roman" w:eastAsia="宋体" w:cs="Times New Roman" w:csTheme="minorBidi"/>
          <w:sz w:val="22"/>
          <w:szCs w:val="22"/>
        </w:rPr>
        <w:t>我们对所有体相、slab 和异质结体系进行了 Bader 电荷分析，以定量分析硫掺杂和异质结形成所引起的电荷再分布。根据 Bader 分割方案，电荷转移定义为 Δq = ZVAL − ρ_Bader，正值表示原子失去电子、负值表示获得电子。分析侧重于同一分割方案下不同体系间的相对趋势，而非电荷转移的绝对数值。</w:t>
      </w:r>
    </w:p>
    <w:p w14:paraId="09CEF6A4">
      <w:pPr>
        <w:spacing w:before="120" w:after="120" w:line="360" w:lineRule="auto"/>
        <w:ind w:left="567"/>
      </w:pPr>
      <w:r>
        <w:rPr>
          <w:rFonts w:ascii="Times New Roman" w:hAnsi="Times New Roman" w:eastAsia="楷体" w:cs="Times New Roman" w:csTheme="minorBidi"/>
          <w:b/>
          <w:bCs/>
          <w:color w:val="707070"/>
          <w:sz w:val="20"/>
          <w:szCs w:val="22"/>
        </w:rPr>
        <w:t>批注 [Bader绝对值局限性]</w:t>
      </w:r>
      <w:r>
        <w:rPr>
          <w:rFonts w:ascii="Times New Roman" w:hAnsi="Times New Roman" w:eastAsia="楷体" w:cs="Times New Roman" w:csTheme="minorBidi"/>
          <w:color w:val="707070"/>
          <w:sz w:val="20"/>
          <w:szCs w:val="22"/>
        </w:rPr>
        <w:t>批注 [Bader绝对值局限性]: 相对趋势侧重于说明。参见后处理分析章节的批注。</w:t>
      </w:r>
      <w:r>
        <w:br w:type="textWrapping"/>
      </w:r>
      <w:r>
        <w:rPr>
          <w:rFonts w:ascii="Times New Roman" w:hAnsi="Times New Roman" w:eastAsia="楷体" w:cs="Times New Roman" w:csTheme="minorBidi"/>
          <w:color w:val="707070"/>
          <w:sz w:val="20"/>
          <w:szCs w:val="22"/>
        </w:rPr>
        <w:t>&gt;</w:t>
      </w:r>
      <w:r>
        <w:br w:type="textWrapping"/>
      </w:r>
      <w:r>
        <w:rPr>
          <w:rFonts w:ascii="Times New Roman" w:hAnsi="Times New Roman" w:eastAsia="楷体" w:cs="Times New Roman" w:csTheme="minorBidi"/>
          <w:color w:val="707070"/>
          <w:sz w:val="20"/>
          <w:szCs w:val="22"/>
        </w:rPr>
        <w:t xml:space="preserve">&gt; </w:t>
      </w:r>
      <w:r>
        <w:rPr>
          <w:rFonts w:ascii="Times New Roman" w:hAnsi="Times New Roman" w:eastAsia="楷体" w:cs="Times New Roman" w:csTheme="minorBidi"/>
          <w:b/>
          <w:bCs/>
          <w:color w:val="707070"/>
          <w:sz w:val="20"/>
          <w:szCs w:val="22"/>
        </w:rPr>
        <w:t>注解</w:t>
      </w:r>
      <w:r>
        <w:rPr>
          <w:rFonts w:ascii="Times New Roman" w:hAnsi="Times New Roman" w:eastAsia="楷体" w:cs="Times New Roman" w:csTheme="minorBidi"/>
          <w:color w:val="707070"/>
          <w:sz w:val="20"/>
          <w:szCs w:val="22"/>
        </w:rPr>
        <w:t>注解：Bader 分析是通过"拓扑划分"来估算每个原子上的电子数。但不同的划分方法（Bader、DDEC、Hirshfeld 等）给出的"原子电荷"绝对数值差异很大（差 0.5 e 以上很常见）。所以重要的是看趋势——S 掺杂前后 Co 的电荷变化了多少，而不是 Co 的"绝对电荷"是多少。这就像用不同品牌的体重秤——品牌 A 给出 70 kg，品牌 B 给出 71 kg，但最重要的是"吃了一顿饭后重了多少"这个差值两台秤给出一致的结论。</w:t>
      </w:r>
    </w:p>
    <w:p w14:paraId="5E42B81B">
      <w:pPr>
        <w:spacing w:before="60" w:after="60" w:line="360" w:lineRule="auto"/>
      </w:pPr>
      <w:r>
        <w:rPr>
          <w:rFonts w:ascii="Times New Roman" w:hAnsi="Times New Roman" w:eastAsia="宋体" w:cs="Times New Roman" w:csTheme="minorBidi"/>
          <w:sz w:val="22"/>
          <w:szCs w:val="22"/>
        </w:rPr>
        <w:t>本征 LDH 体相中，钴和镍中心均呈现正电荷转移（Δq_Co ≈ +1.31 e，Δq_Ni ≈ +1.26 e），表明它们向周围的氧配体转移了部分电荷，呈现典型的过渡金属-氧配体电荷给予特征。氧原子呈现持续的负电荷转移（Δq_O ≈ −1.22 e），与 O²⁻ 作为电子受体的角色一致。氢原子表现出正电荷转移（Δq_H ≈ +0.58 e），与其在氢氧化物框架中的质子特性一致。</w:t>
      </w:r>
    </w:p>
    <w:p w14:paraId="024C9917">
      <w:pPr>
        <w:spacing w:before="60" w:after="60" w:line="360" w:lineRule="auto"/>
      </w:pPr>
      <w:r>
        <w:rPr>
          <w:rFonts w:ascii="Times New Roman" w:hAnsi="Times New Roman" w:eastAsia="宋体" w:cs="Times New Roman" w:csTheme="minorBidi"/>
          <w:sz w:val="22"/>
          <w:szCs w:val="22"/>
        </w:rPr>
        <w:t>在 S 掺杂 LDH 中，硫原子呈现 Δq_S ≈ −0.74 至 −0.81 e 的电荷转移（负值），即硫的 Bader basin 获得了约 0.74-0.81 个电子。这一结果需要结合电负性差异来理解：硫（EN = 2.58）的电负性低于氧（EN = 3.44），因此 O²⁻ 从金属原子吸引电子的能力强于 S²⁻。作为参考，相同位置上的 O 原子获得约 1.22 e，而 S 仅获得约 0.8 e——S 获得的电子密度确实比 O 少约 0.4 e，这正是 S 电负性较低的体现。这与一种常见的"直觉"相反：S 并没有"夺取"金属的电子，而是相对于 OH⁻ 配体向金属"归还"了部分电子，导致 S 自身的净电子密度低于 O。</w:t>
      </w:r>
    </w:p>
    <w:p w14:paraId="731A3759">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：这里有一个容易混淆的地方——我们常说"S 和 O 哪个电负性大"以及"哪个得电子多"。O（电负性 3.44）比 S（2.58）更"贪婪"地吸引电子到自身周围。所以 S 周围的电子密度确实比 O 少——但这并不意味着 S"失去了电子"，而是 S"吸引电子的能力不如 O"。打个比方：O 像是一个磁性很强的磁铁，能从金属中吸走更多电子聚集在自己身边；S 的磁性较弱，所以 S 身边的电子比 O 身边少。两者的 Bader 电荷都是负的（都获得了电子），但 S 获得得更少。说 S"呈现净正电荷"是误解——S 的电荷转移是负的（−0.74 e），意味着它实实在在获得了电子，只是没有 O 获得得多。</w:t>
      </w:r>
    </w:p>
    <w:p w14:paraId="5277F8C4">
      <w:pPr>
        <w:spacing w:before="60" w:after="60" w:line="360" w:lineRule="auto"/>
      </w:pPr>
      <w:r>
        <w:rPr>
          <w:rFonts w:ascii="Times New Roman" w:hAnsi="Times New Roman" w:eastAsia="宋体" w:cs="Times New Roman" w:csTheme="minorBidi"/>
          <w:sz w:val="22"/>
          <w:szCs w:val="22"/>
        </w:rPr>
        <w:t>Bader 分析进一步揭示了 S 掺杂引起的金属位点电荷变化。在应变 slab 中，引入硫掺杂后，Co 的电荷转移从 +1.32 e（LDH_strained）降至 +1.28~1.31 e（LDH_S_strained），变化 ΔΔq_Co ≈ −0.01 至 −0.04 e（方向为 Co 获得少量电子密度）。Ni 的电荷转移基本保持不变（Δq_Ni ≈ +1.26 e）。这一趋势在三个异质结中也一致：hetero_intrinsic 中 Co 为 +1.33 e，而 hetero_s_doped 和 hetero_s_exposed 中 Co 分别为 +1.31 e 和 +1.31 e。这一微小的电荷重分布方向表明，S 掺杂对金属位点的影响并非简单地从金属抽取电子，而是通过改变配体环境（OH⁻→S²⁻ 替换）引起整体价电子结构的重新调整。这一调整包含两个竞争效应：（1）S 的电负性低于 O，使配体到金属的电荷给予减少（倾向于使金属电子密度降低）；以及（2）S²⁻ 替代 OH⁻ 后配体数目和空间结构发生变化（倾向于改变金属轨道重叠程度，影响 Bader basin 划分）。综合 Bader 分析结果，效应（2）在 Co 位上略占主导，导致 Co 的 Bader 电荷微量增加（更多电子密度），而非简单地向 S 转移。</w:t>
      </w:r>
    </w:p>
    <w:p w14:paraId="11D22FE4">
      <w:pPr>
        <w:spacing w:before="120" w:after="120" w:line="360" w:lineRule="auto"/>
        <w:ind w:left="567"/>
      </w:pPr>
      <w:r>
        <w:rPr>
          <w:rFonts w:ascii="Times New Roman" w:hAnsi="Times New Roman" w:eastAsia="楷体" w:cs="Times New Roman" w:csTheme="minorBidi"/>
          <w:b/>
          <w:bCs/>
          <w:color w:val="555555"/>
          <w:sz w:val="20"/>
          <w:szCs w:val="22"/>
        </w:rPr>
        <w:t>注</w:t>
      </w:r>
      <w:r>
        <w:rPr>
          <w:rFonts w:ascii="Times New Roman" w:hAnsi="Times New Roman" w:eastAsia="楷体" w:cs="Times New Roman" w:csTheme="minorBidi"/>
          <w:color w:val="555555"/>
          <w:sz w:val="20"/>
          <w:szCs w:val="22"/>
        </w:rPr>
        <w:t>注</w:t>
      </w:r>
      <w:r>
        <w:rPr>
          <w:rFonts w:ascii="Times New Roman" w:hAnsi="Times New Roman" w:eastAsia="楷体" w:cs="Times New Roman" w:csTheme="minorBidi"/>
          <w:color w:val="555555"/>
          <w:sz w:val="20"/>
          <w:szCs w:val="22"/>
        </w:rPr>
        <w:t>: 上述 Bader 电荷分析结果在两个独立计算层级（体相 Level 1 和应变 slab Level 2）中定量一致，验证了分析的可靠性和体系间可比性。</w:t>
      </w:r>
    </w:p>
    <w:p w14:paraId="29387C53">
      <w:pPr>
        <w:spacing w:before="60" w:after="60" w:line="360" w:lineRule="auto"/>
      </w:pPr>
      <w:r>
        <w:rPr>
          <w:rFonts w:ascii="Times New Roman" w:hAnsi="Times New Roman" w:eastAsia="宋体" w:cs="Times New Roman" w:csTheme="minorBidi"/>
          <w:sz w:val="22"/>
          <w:szCs w:val="22"/>
        </w:rPr>
        <w:t>XPS 观测到的 Co 2p 和 Ni 2p 结合能正移（约 0.1-0.3 eV，图 2）与 Bader 分析中金属位点电荷的微小变化方向一致——两者都反映了 OH⁻→S²⁻ 配体替换后整体电子结构的重新调整。需要强调的是，XPS 结合能位移是最终态效应（包括弛豫和屏蔽）与初态效应的综合体现，与基态 Bader 电荷变化之间无严格的线性对应关系。本文中 Bader 分析的用途在于确认配体替换引起了可检测的电子结构变化，其方向性与 XPS 观测的定性趋势一致。</w:t>
      </w:r>
    </w:p>
    <w:p w14:paraId="1B8F5BE7">
      <w:pPr>
        <w:spacing w:before="60" w:after="60" w:line="360" w:lineRule="auto"/>
      </w:pPr>
      <w:r>
        <w:rPr>
          <w:rFonts w:ascii="Times New Roman" w:hAnsi="Times New Roman" w:eastAsia="宋体" w:cs="Times New Roman" w:csTheme="minorBidi"/>
          <w:sz w:val="22"/>
          <w:szCs w:val="22"/>
        </w:rPr>
        <w:t>所有体系的净电荷总量在数值精度范围内为零（|ΣΔq| &lt; 10⁻³ e），验证了 Bader 划分方案的自洽性。</w:t>
      </w:r>
    </w:p>
    <w:p w14:paraId="1CD7E51C">
      <w:pPr>
        <w:pStyle w:val="Heading3"/>
        <w:spacing w:before="240" w:after="120" w:line="360" w:lineRule="auto"/>
      </w:pPr>
      <w:r>
        <w:rPr>
          <w:rFonts w:ascii="Times New Roman" w:hAnsi="Times New Roman" w:eastAsia="宋体" w:cs="Times New Roman" w:csTheme="majorBidi"/>
          <w:b/>
          <w:bCs/>
          <w:color w:val="4F81BD" w:themeColor="accent1"/>
          <w:sz w:val="26"/>
          <w:szCs w:val="22"/>
        </w:rPr>
        <w:t>3.4. 功函数与界面静电势</w:t>
      </w:r>
    </w:p>
    <w:p w14:paraId="64519EA9">
      <w:pPr>
        <w:spacing w:before="60" w:after="60" w:line="360" w:lineRule="auto"/>
      </w:pPr>
      <w:r>
        <w:rPr>
          <w:rFonts w:ascii="Times New Roman" w:hAnsi="Times New Roman" w:eastAsia="宋体" w:cs="Times New Roman" w:csTheme="minorBidi"/>
          <w:sz w:val="22"/>
          <w:szCs w:val="22"/>
        </w:rPr>
        <w:t>我们计算了所有应变 slab 和异质结的功函数（Φ），结果总结于表 1。CMCH 基底（Φ = 5.38 eV）显著高于 LDH 层板（Φ = 3.06 eV），表明 CMCH 的费米能级深于真空能级，即 CMCH 相对更难向真空发射电子，具有更高的电子亲和能。这一功函数差异（ΔΦ = 2.32 eV）是异质结界面处发生显著电荷转移的根本驱动力：电子倾向于从低功函数（LDH 侧）向高功函数（CMCH 侧）流动，直到界面处费米能级达到平衡。</w:t>
      </w:r>
    </w:p>
    <w:p w14:paraId="63BF5D37">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：功函数可以通俗地理解为"电子从材料表面逃逸到真空所需的最小能量"——类似于电子的"蒸发潜热"。功函数越低，材料越容易给出电子（越"活泼"）；功函数越高，材料越难给出电子（越"惰性"）。CMCH 的功函数（5.38 eV）比 LDH（3.06 eV）高 2.32 eV，意味着当两种材料接触时，电子会自发地从 LDH 流向 CMCH，就像水从高处（低势能）流向低处（高势能）一样。需要注意的是，这个差异是在真空条件下计算的，而在实际的电解液环境中，电极/电解液界面的"双电层"会重新调节有效功函数，所以这里我们只做定性参考。</w:t>
      </w:r>
    </w:p>
    <w:p w14:paraId="76CECCF2">
      <w:pPr>
        <w:spacing w:before="120" w:after="120" w:line="360" w:lineRule="auto"/>
        <w:ind w:left="567"/>
      </w:pPr>
      <w:r>
        <w:rPr>
          <w:rFonts w:ascii="Times New Roman" w:hAnsi="Times New Roman" w:eastAsia="楷体" w:cs="Times New Roman" w:csTheme="minorBidi"/>
          <w:b/>
          <w:bCs/>
          <w:color w:val="555555"/>
          <w:sz w:val="20"/>
          <w:szCs w:val="22"/>
        </w:rPr>
        <w:t>注</w:t>
      </w:r>
      <w:r>
        <w:rPr>
          <w:rFonts w:ascii="Times New Roman" w:hAnsi="Times New Roman" w:eastAsia="楷体" w:cs="Times New Roman" w:csTheme="minorBidi"/>
          <w:color w:val="555555"/>
          <w:sz w:val="20"/>
          <w:szCs w:val="22"/>
        </w:rPr>
        <w:t>注</w:t>
      </w:r>
      <w:r>
        <w:rPr>
          <w:rFonts w:ascii="Times New Roman" w:hAnsi="Times New Roman" w:eastAsia="楷体" w:cs="Times New Roman" w:csTheme="minorBidi"/>
          <w:color w:val="555555"/>
          <w:sz w:val="20"/>
          <w:szCs w:val="22"/>
        </w:rPr>
        <w:t>: 功函数差异作为界面电荷转移的驱动力仅适用于真空界面条件下的简化模型。在实际电化学环境中，电极/电解液界面处的 Helmholtz 双电层和溶剂化效应会对有效功函数产生显著调节，本文的真空计算结果提供的是基态电子结构层面的参考。</w:t>
      </w:r>
    </w:p>
    <w:p w14:paraId="55940456">
      <w:pPr>
        <w:spacing w:before="60" w:after="60" w:line="360" w:lineRule="auto"/>
      </w:pPr>
      <w:r>
        <w:rPr>
          <w:rFonts w:ascii="Times New Roman" w:hAnsi="Times New Roman" w:eastAsia="宋体" w:cs="Times New Roman" w:csTheme="minorBidi"/>
          <w:sz w:val="22"/>
          <w:szCs w:val="22"/>
        </w:rPr>
        <w:t>硫掺杂对功函数的影响表现出位置依赖性。当 S 位于 LDH 远离界面时（LDH_S_strained），功函数从本征的 3.06 eV 降至 2.92 eV（−0.14 eV）；而当 S 位于靠近界面侧时（LDH_S_flip_strained），功函数升至 3.62 eV（+0.56 eV）。这种位置依赖性源于 S 掺杂剂在 slab 中的非对称位置引起的额外静电偶极矩，说明 S 掺杂对界面电子结构的影响不仅取决于掺杂本身，还与掺杂剂的局部分布位置密切相关。</w:t>
      </w:r>
    </w:p>
    <w:p w14:paraId="153B356A">
      <w:pPr>
        <w:spacing w:before="60" w:after="60" w:line="360" w:lineRule="auto"/>
      </w:pPr>
      <w:r>
        <w:rPr>
          <w:rFonts w:ascii="Times New Roman" w:hAnsi="Times New Roman" w:eastAsia="宋体" w:cs="Times New Roman" w:csTheme="minorBidi"/>
          <w:sz w:val="22"/>
          <w:szCs w:val="22"/>
        </w:rPr>
        <w:t>在完整的异质结中，功函数测量值介于两个组分之间：hetero_intrinsic 为 3.78 eV，hetero_s_doped 降至 3.31 eV，hetero_s_exposed 升至 3.89 eV。异质结功函数的变化趋势与 LDH 应变 slab 的功函数变化方向一致（S 远离界面 → 功函数降低，S 靠近界面 → 功函数升高），表明 LDH 层板的电子结构变化主导了异质结的整体功函数行为。</w:t>
      </w:r>
    </w:p>
    <w:p w14:paraId="0F7021DF">
      <w:pPr>
        <w:spacing w:before="60" w:after="60" w:line="360" w:lineRule="auto"/>
      </w:pPr>
      <w:r>
        <w:rPr>
          <w:rFonts w:ascii="Times New Roman" w:hAnsi="Times New Roman" w:eastAsia="宋体" w:cs="Times New Roman" w:csTheme="minorBidi"/>
          <w:b/>
          <w:bCs/>
          <w:sz w:val="22"/>
          <w:szCs w:val="22"/>
        </w:rPr>
        <w:t>表 1 | Level 2 体系的功函数</w:t>
      </w:r>
      <w:r>
        <w:rPr>
          <w:rFonts w:ascii="Times New Roman" w:hAnsi="Times New Roman" w:eastAsia="宋体" w:cs="Times New Roman" w:csTheme="minorBidi"/>
          <w:sz w:val="22"/>
          <w:szCs w:val="22"/>
        </w:rPr>
        <w:t>表 1 | Level 2 体系的功函数</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680"/>
        <w:gridCol w:w="4680"/>
      </w:tblGrid>
      <w:tr>
        <w:tc>
          <w:tcPr>
            <w:tcW w:w="4680" w:type="dxa"/>
            <w:tcBorders>
              <w:top w:val="single" w:sz="4" w:space="0" w:color="auto"/>
              <w:left w:val="single" w:sz="4" w:space="0" w:color="auto"/>
              <w:bottom w:val="single" w:sz="4" w:space="0" w:color="auto"/>
              <w:right w:val="single" w:sz="4" w:space="0" w:color="auto"/>
            </w:tcBorders>
            <w:shd w:val="clear" w:fill="D9E2F3"/>
            <w:tcMar>
              <w:top w:w="0" w:type="dxa"/>
              <w:left w:w="108" w:type="dxa"/>
              <w:bottom w:w="0" w:type="dxa"/>
              <w:right w:w="108" w:type="dxa"/>
            </w:tcMar>
          </w:tcPr>
          <w:p w14:paraId="3F139FB5">
            <w:pPr>
              <w:spacing w:after="200" w:line="276" w:lineRule="auto"/>
            </w:pPr>
            <w:r/>
            <w:r>
              <w:rPr>
                <w:rFonts w:ascii="Times New Roman" w:hAnsi="Times New Roman" w:eastAsia="宋体" w:cs="Times New Roman" w:csTheme="minorBidi"/>
                <w:b/>
                <w:bCs/>
                <w:sz w:val="20"/>
                <w:szCs w:val="22"/>
              </w:rPr>
              <w:t>体系</w:t>
            </w:r>
          </w:p>
        </w:tc>
        <w:tc>
          <w:tcPr>
            <w:tcW w:w="4680" w:type="dxa"/>
            <w:tcBorders>
              <w:top w:val="single" w:sz="4" w:space="0" w:color="auto"/>
              <w:left w:val="single" w:sz="4" w:space="0" w:color="auto"/>
              <w:bottom w:val="single" w:sz="4" w:space="0" w:color="auto"/>
              <w:right w:val="single" w:sz="4" w:space="0" w:color="auto"/>
            </w:tcBorders>
            <w:shd w:val="clear" w:fill="D9E2F3"/>
            <w:tcMar>
              <w:top w:w="0" w:type="dxa"/>
              <w:left w:w="108" w:type="dxa"/>
              <w:bottom w:w="0" w:type="dxa"/>
              <w:right w:w="108" w:type="dxa"/>
            </w:tcMar>
          </w:tcPr>
          <w:p w14:paraId="4C86BCC9">
            <w:pPr>
              <w:spacing w:after="200" w:line="276" w:lineRule="auto"/>
            </w:pPr>
            <w:r/>
            <w:r>
              <w:rPr>
                <w:rFonts w:ascii="Times New Roman" w:hAnsi="Times New Roman" w:eastAsia="宋体" w:cs="Times New Roman" w:csTheme="minorBidi"/>
                <w:b/>
                <w:bCs/>
                <w:sz w:val="20"/>
                <w:szCs w:val="22"/>
              </w:rPr>
              <w:t>Φ (eV)</w:t>
            </w:r>
          </w:p>
        </w:tc>
      </w:tr>
      <w:tr>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9862EB">
            <w:pPr>
              <w:spacing w:after="200" w:line="276" w:lineRule="auto"/>
            </w:pPr>
            <w:r/>
            <w:r>
              <w:rPr>
                <w:rFonts w:ascii="Times New Roman" w:hAnsi="Times New Roman" w:eastAsia="宋体" w:cs="Times New Roman" w:csTheme="minorBidi"/>
                <w:sz w:val="20"/>
                <w:szCs w:val="22"/>
              </w:rPr>
              <w:t>CMCH_strained</w:t>
            </w:r>
          </w:p>
        </w:tc>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EDFA17">
            <w:pPr>
              <w:spacing w:after="200" w:line="276" w:lineRule="auto"/>
            </w:pPr>
            <w:r/>
            <w:r>
              <w:rPr>
                <w:rFonts w:ascii="Times New Roman" w:hAnsi="Times New Roman" w:eastAsia="宋体" w:cs="Times New Roman" w:csTheme="minorBidi"/>
                <w:sz w:val="20"/>
                <w:szCs w:val="22"/>
              </w:rPr>
              <w:t>5.38</w:t>
            </w:r>
          </w:p>
        </w:tc>
      </w:tr>
      <w:tr>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A4339E">
            <w:pPr>
              <w:spacing w:after="200" w:line="276" w:lineRule="auto"/>
            </w:pPr>
            <w:r/>
            <w:r>
              <w:rPr>
                <w:rFonts w:ascii="Times New Roman" w:hAnsi="Times New Roman" w:eastAsia="宋体" w:cs="Times New Roman" w:csTheme="minorBidi"/>
                <w:sz w:val="20"/>
                <w:szCs w:val="22"/>
              </w:rPr>
              <w:t>LDH_strained</w:t>
            </w:r>
          </w:p>
        </w:tc>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0AE328">
            <w:pPr>
              <w:spacing w:after="200" w:line="276" w:lineRule="auto"/>
            </w:pPr>
            <w:r/>
            <w:r>
              <w:rPr>
                <w:rFonts w:ascii="Times New Roman" w:hAnsi="Times New Roman" w:eastAsia="宋体" w:cs="Times New Roman" w:csTheme="minorBidi"/>
                <w:sz w:val="20"/>
                <w:szCs w:val="22"/>
              </w:rPr>
              <w:t>3.06</w:t>
            </w:r>
          </w:p>
        </w:tc>
      </w:tr>
      <w:tr>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8ADAED">
            <w:pPr>
              <w:spacing w:after="200" w:line="276" w:lineRule="auto"/>
            </w:pPr>
            <w:r/>
            <w:r>
              <w:rPr>
                <w:rFonts w:ascii="Times New Roman" w:hAnsi="Times New Roman" w:eastAsia="宋体" w:cs="Times New Roman" w:csTheme="minorBidi"/>
                <w:sz w:val="20"/>
                <w:szCs w:val="22"/>
              </w:rPr>
              <w:t>LDH_S_strained</w:t>
            </w:r>
          </w:p>
        </w:tc>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9B3C1">
            <w:pPr>
              <w:spacing w:after="200" w:line="276" w:lineRule="auto"/>
            </w:pPr>
            <w:r/>
            <w:r>
              <w:rPr>
                <w:rFonts w:ascii="Times New Roman" w:hAnsi="Times New Roman" w:eastAsia="宋体" w:cs="Times New Roman" w:csTheme="minorBidi"/>
                <w:sz w:val="20"/>
                <w:szCs w:val="22"/>
              </w:rPr>
              <w:t>2.92</w:t>
            </w:r>
          </w:p>
        </w:tc>
      </w:tr>
      <w:tr>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3B48EA">
            <w:pPr>
              <w:spacing w:after="200" w:line="276" w:lineRule="auto"/>
            </w:pPr>
            <w:r/>
            <w:r>
              <w:rPr>
                <w:rFonts w:ascii="Times New Roman" w:hAnsi="Times New Roman" w:eastAsia="宋体" w:cs="Times New Roman" w:csTheme="minorBidi"/>
                <w:sz w:val="20"/>
                <w:szCs w:val="22"/>
              </w:rPr>
              <w:t>LDH_S_flip_strained</w:t>
            </w:r>
          </w:p>
        </w:tc>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4B1110">
            <w:pPr>
              <w:spacing w:after="200" w:line="276" w:lineRule="auto"/>
            </w:pPr>
            <w:r/>
            <w:r>
              <w:rPr>
                <w:rFonts w:ascii="Times New Roman" w:hAnsi="Times New Roman" w:eastAsia="宋体" w:cs="Times New Roman" w:csTheme="minorBidi"/>
                <w:sz w:val="20"/>
                <w:szCs w:val="22"/>
              </w:rPr>
              <w:t>3.62</w:t>
            </w:r>
          </w:p>
        </w:tc>
      </w:tr>
      <w:tr>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C14445">
            <w:pPr>
              <w:spacing w:after="200" w:line="276" w:lineRule="auto"/>
            </w:pPr>
            <w:r/>
            <w:r>
              <w:rPr>
                <w:rFonts w:ascii="Times New Roman" w:hAnsi="Times New Roman" w:eastAsia="宋体" w:cs="Times New Roman" w:csTheme="minorBidi"/>
                <w:sz w:val="20"/>
                <w:szCs w:val="22"/>
              </w:rPr>
              <w:t>hetero_intrinsic</w:t>
            </w:r>
          </w:p>
        </w:tc>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BCCA80">
            <w:pPr>
              <w:spacing w:after="200" w:line="276" w:lineRule="auto"/>
            </w:pPr>
            <w:r/>
            <w:r>
              <w:rPr>
                <w:rFonts w:ascii="Times New Roman" w:hAnsi="Times New Roman" w:eastAsia="宋体" w:cs="Times New Roman" w:csTheme="minorBidi"/>
                <w:sz w:val="20"/>
                <w:szCs w:val="22"/>
              </w:rPr>
              <w:t>3.78</w:t>
            </w:r>
          </w:p>
        </w:tc>
      </w:tr>
      <w:tr>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C6490C">
            <w:pPr>
              <w:spacing w:after="200" w:line="276" w:lineRule="auto"/>
            </w:pPr>
            <w:r/>
            <w:r>
              <w:rPr>
                <w:rFonts w:ascii="Times New Roman" w:hAnsi="Times New Roman" w:eastAsia="宋体" w:cs="Times New Roman" w:csTheme="minorBidi"/>
                <w:sz w:val="20"/>
                <w:szCs w:val="22"/>
              </w:rPr>
              <w:t>hetero_s_doped</w:t>
            </w:r>
          </w:p>
        </w:tc>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C8A596">
            <w:pPr>
              <w:spacing w:after="200" w:line="276" w:lineRule="auto"/>
            </w:pPr>
            <w:r/>
            <w:r>
              <w:rPr>
                <w:rFonts w:ascii="Times New Roman" w:hAnsi="Times New Roman" w:eastAsia="宋体" w:cs="Times New Roman" w:csTheme="minorBidi"/>
                <w:sz w:val="20"/>
                <w:szCs w:val="22"/>
              </w:rPr>
              <w:t>3.31</w:t>
            </w:r>
          </w:p>
        </w:tc>
      </w:tr>
      <w:tr>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FBBCD7">
            <w:pPr>
              <w:spacing w:after="200" w:line="276" w:lineRule="auto"/>
            </w:pPr>
            <w:r/>
            <w:r>
              <w:rPr>
                <w:rFonts w:ascii="Times New Roman" w:hAnsi="Times New Roman" w:eastAsia="宋体" w:cs="Times New Roman" w:csTheme="minorBidi"/>
                <w:sz w:val="20"/>
                <w:szCs w:val="22"/>
              </w:rPr>
              <w:t>hetero_s_exposed</w:t>
            </w:r>
          </w:p>
        </w:tc>
        <w:tc>
          <w:tcPr>
            <w:tcW w:w="46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0320F5">
            <w:pPr>
              <w:spacing w:after="200" w:line="276" w:lineRule="auto"/>
            </w:pPr>
            <w:r/>
            <w:r>
              <w:rPr>
                <w:rFonts w:ascii="Times New Roman" w:hAnsi="Times New Roman" w:eastAsia="宋体" w:cs="Times New Roman" w:csTheme="minorBidi"/>
                <w:sz w:val="20"/>
                <w:szCs w:val="22"/>
              </w:rPr>
              <w:t>3.89</w:t>
            </w:r>
          </w:p>
        </w:tc>
      </w:tr>
    </w:tbl>
    <w:p w14:paraId="7B245566">
      <w:pPr>
        <w:spacing w:after="200" w:line="276" w:lineRule="auto"/>
      </w:pPr>
    </w:p>
    <w:p w14:paraId="48A14A96">
      <w:pPr>
        <w:pStyle w:val="Heading3"/>
        <w:spacing w:before="240" w:after="120" w:line="360" w:lineRule="auto"/>
      </w:pPr>
      <w:r>
        <w:rPr>
          <w:rFonts w:ascii="Times New Roman" w:hAnsi="Times New Roman" w:eastAsia="宋体" w:cs="Times New Roman" w:csTheme="majorBidi"/>
          <w:b/>
          <w:bCs/>
          <w:color w:val="4F81BD" w:themeColor="accent1"/>
          <w:sz w:val="26"/>
          <w:szCs w:val="22"/>
        </w:rPr>
        <w:t>3.5. 能带对齐分析</w:t>
      </w:r>
    </w:p>
    <w:p w14:paraId="36CFBB4C">
      <w:pPr>
        <w:spacing w:before="60" w:after="60" w:line="360" w:lineRule="auto"/>
      </w:pPr>
      <w:r>
        <w:rPr>
          <w:rFonts w:ascii="Times New Roman" w:hAnsi="Times New Roman" w:eastAsia="宋体" w:cs="Times New Roman" w:csTheme="minorBidi"/>
          <w:sz w:val="22"/>
          <w:szCs w:val="22"/>
        </w:rPr>
        <w:t>基于晶格一致策略（Level 2），采用 Van de Walle-Martin 平均势方法对三种异质结进行了能带对齐分析。在严格意义上，由于 LDH slab 仅含单层金属原子，其体相参考区厚度不足（~1.6 Å），能带偏移的定量值不确定度较大（≥ 0.3 eV），因此以下讨论侧重于定性的能带排列类型，而非具体的偏移数值。</w:t>
      </w:r>
    </w:p>
    <w:p w14:paraId="0E1CB3BF">
      <w:pPr>
        <w:spacing w:before="60" w:after="60" w:line="360" w:lineRule="auto"/>
      </w:pPr>
      <w:r>
        <w:rPr>
          <w:rFonts w:ascii="Times New Roman" w:hAnsi="Times New Roman" w:eastAsia="宋体" w:cs="Times New Roman" w:csTheme="minorBidi"/>
          <w:sz w:val="22"/>
          <w:szCs w:val="22"/>
        </w:rPr>
        <w:t xml:space="preserve">本征异质结（Intrinsic Het.）呈现 </w:t>
      </w:r>
      <w:r>
        <w:rPr>
          <w:rFonts w:ascii="Times New Roman" w:hAnsi="Times New Roman" w:eastAsia="宋体" w:cs="Times New Roman" w:csTheme="minorBidi"/>
          <w:b/>
          <w:bCs/>
          <w:sz w:val="22"/>
          <w:szCs w:val="22"/>
        </w:rPr>
        <w:t>Type III（broken gap）</w:t>
      </w:r>
      <w:r>
        <w:rPr>
          <w:rFonts w:ascii="Times New Roman" w:hAnsi="Times New Roman" w:eastAsia="宋体" w:cs="Times New Roman" w:csTheme="minorBidi"/>
          <w:sz w:val="22"/>
          <w:szCs w:val="22"/>
        </w:rPr>
        <w:t>Type III（broken gap）</w:t>
      </w:r>
      <w:r>
        <w:rPr>
          <w:rFonts w:ascii="Times New Roman" w:hAnsi="Times New Roman" w:eastAsia="宋体" w:cs="Times New Roman" w:csTheme="minorBidi"/>
          <w:sz w:val="22"/>
          <w:szCs w:val="22"/>
        </w:rPr>
        <w:t xml:space="preserve"> 型能带排列：LDH 的价带顶高于 CMCH 的导带底，两半导体组分的能带在界面处彼此"错开"而非"重叠"。在理想界面条件下，这种 broken gap 排列允许电子直接从 CMCH 的价带隧穿至 LDH 的导带（或反之），形成近乎欧姆接触的界面电荷传输通道。这一本征的能带结构特征为 CMCH@LDH 体系提供了天然的低电阻界面通道，与实验观测到 CMCH@NC-LDHs 的较低 Rct 值（0.78 Ω）定性一致。</w:t>
      </w:r>
    </w:p>
    <w:p w14:paraId="13802277">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注解：能带对齐描述的是两种材料接触时，它们的电子能级如何"对齐"。有三种基本类型：</w:t>
      </w:r>
      <w:r>
        <w:br w:type="textWrapping"/>
      </w:r>
      <w:r>
        <w:rPr>
          <w:rFonts w:ascii="Times New Roman" w:hAnsi="Times New Roman" w:eastAsia="楷体" w:cs="Times New Roman" w:csTheme="minorBidi"/>
          <w:color w:val="007070"/>
          <w:sz w:val="20"/>
          <w:szCs w:val="22"/>
        </w:rPr>
        <w:t>&gt;</w:t>
      </w:r>
      <w:r>
        <w:br w:type="textWrapping"/>
      </w:r>
      <w:r>
        <w:rPr>
          <w:rFonts w:ascii="Times New Roman" w:hAnsi="Times New Roman" w:eastAsia="楷体" w:cs="Times New Roman" w:csTheme="minorBidi"/>
          <w:color w:val="007070"/>
          <w:sz w:val="20"/>
          <w:szCs w:val="22"/>
        </w:rPr>
        <w:t xml:space="preserve">&gt; - </w:t>
      </w:r>
      <w:r>
        <w:rPr>
          <w:rFonts w:ascii="Times New Roman" w:hAnsi="Times New Roman" w:eastAsia="楷体" w:cs="Times New Roman" w:csTheme="minorBidi"/>
          <w:b/>
          <w:bCs/>
          <w:color w:val="007070"/>
          <w:sz w:val="20"/>
          <w:szCs w:val="22"/>
        </w:rPr>
        <w:t>Type I（straddling gap，嵌套型）</w:t>
      </w:r>
      <w:r>
        <w:rPr>
          <w:rFonts w:ascii="Times New Roman" w:hAnsi="Times New Roman" w:eastAsia="楷体" w:cs="Times New Roman" w:csTheme="minorBidi"/>
          <w:color w:val="007070"/>
          <w:sz w:val="20"/>
          <w:szCs w:val="22"/>
        </w:rPr>
        <w:t>Type I（straddling gap，嵌套型）：一种材料的导带/价带完全"套在"另一种材料的带隙内。电子和空穴（电子的"空位"）都会向带隙较窄的那一侧迁移，有利于发光（如 LED）。</w:t>
      </w:r>
      <w:r>
        <w:br w:type="textWrapping"/>
      </w:r>
      <w:r>
        <w:rPr>
          <w:rFonts w:ascii="Times New Roman" w:hAnsi="Times New Roman" w:eastAsia="楷体" w:cs="Times New Roman" w:csTheme="minorBidi"/>
          <w:color w:val="007070"/>
          <w:sz w:val="20"/>
          <w:szCs w:val="22"/>
        </w:rPr>
        <w:t xml:space="preserve">&gt; - </w:t>
      </w:r>
      <w:r>
        <w:rPr>
          <w:rFonts w:ascii="Times New Roman" w:hAnsi="Times New Roman" w:eastAsia="楷体" w:cs="Times New Roman" w:csTheme="minorBidi"/>
          <w:b/>
          <w:bCs/>
          <w:color w:val="007070"/>
          <w:sz w:val="20"/>
          <w:szCs w:val="22"/>
        </w:rPr>
        <w:t>Type II（staggered gap，交错型）</w:t>
      </w:r>
      <w:r>
        <w:rPr>
          <w:rFonts w:ascii="Times New Roman" w:hAnsi="Times New Roman" w:eastAsia="楷体" w:cs="Times New Roman" w:csTheme="minorBidi"/>
          <w:color w:val="007070"/>
          <w:sz w:val="20"/>
          <w:szCs w:val="22"/>
        </w:rPr>
        <w:t>Type II（staggered gap，交错型）：两种材料的导带和价带相互错开，电子和空穴分居两侧，有利于光催化中的电荷分离。</w:t>
      </w:r>
      <w:r>
        <w:br w:type="textWrapping"/>
      </w:r>
      <w:r>
        <w:rPr>
          <w:rFonts w:ascii="Times New Roman" w:hAnsi="Times New Roman" w:eastAsia="楷体" w:cs="Times New Roman" w:csTheme="minorBidi"/>
          <w:color w:val="007070"/>
          <w:sz w:val="20"/>
          <w:szCs w:val="22"/>
        </w:rPr>
        <w:t xml:space="preserve">&gt; - </w:t>
      </w:r>
      <w:r>
        <w:rPr>
          <w:rFonts w:ascii="Times New Roman" w:hAnsi="Times New Roman" w:eastAsia="楷体" w:cs="Times New Roman" w:csTheme="minorBidi"/>
          <w:b/>
          <w:bCs/>
          <w:color w:val="007070"/>
          <w:sz w:val="20"/>
          <w:szCs w:val="22"/>
        </w:rPr>
        <w:t>Type III（broken gap，断裂型）</w:t>
      </w:r>
      <w:r>
        <w:rPr>
          <w:rFonts w:ascii="Times New Roman" w:hAnsi="Times New Roman" w:eastAsia="楷体" w:cs="Times New Roman" w:csTheme="minorBidi"/>
          <w:color w:val="007070"/>
          <w:sz w:val="20"/>
          <w:szCs w:val="22"/>
        </w:rPr>
        <w:t>Type III（broken gap，断裂型）：一种材料的价带顶高于另一种材料的导带底——能带完全"断开"。这意味着两者之间形成一个天然的导电通道，电荷几乎可以无障碍流动。</w:t>
      </w:r>
      <w:r>
        <w:br w:type="textWrapping"/>
      </w:r>
      <w:r>
        <w:rPr>
          <w:rFonts w:ascii="Times New Roman" w:hAnsi="Times New Roman" w:eastAsia="楷体" w:cs="Times New Roman" w:csTheme="minorBidi"/>
          <w:color w:val="007070"/>
          <w:sz w:val="20"/>
          <w:szCs w:val="22"/>
        </w:rPr>
        <w:t>&gt;</w:t>
      </w:r>
      <w:r>
        <w:br w:type="textWrapping"/>
      </w:r>
      <w:r>
        <w:rPr>
          <w:rFonts w:ascii="Times New Roman" w:hAnsi="Times New Roman" w:eastAsia="楷体" w:cs="Times New Roman" w:csTheme="minorBidi"/>
          <w:color w:val="007070"/>
          <w:sz w:val="20"/>
          <w:szCs w:val="22"/>
        </w:rPr>
        <w:t>&gt; 我们的发现是本征异质结属于 Type III（低电阻界面），而 S 掺杂后转变为 Type I（载流子限域）。Type III→Type I 的转变意味着 S 掺杂从根本上改变了界面的电荷传输模式。</w:t>
      </w:r>
    </w:p>
    <w:p w14:paraId="1E502E6D">
      <w:pPr>
        <w:spacing w:before="60" w:after="60" w:line="360" w:lineRule="auto"/>
      </w:pPr>
      <w:r>
        <w:rPr>
          <w:rFonts w:ascii="Times New Roman" w:hAnsi="Times New Roman" w:eastAsia="宋体" w:cs="Times New Roman" w:csTheme="minorBidi"/>
          <w:sz w:val="22"/>
          <w:szCs w:val="22"/>
        </w:rPr>
        <w:t>引入硫掺杂后，能带排列类型发生显著转变：</w:t>
      </w:r>
      <w:r>
        <w:rPr>
          <w:rFonts w:ascii="Times New Roman" w:hAnsi="Times New Roman" w:eastAsia="宋体" w:cs="Times New Roman" w:csTheme="minorBidi"/>
          <w:b/>
          <w:bCs/>
          <w:sz w:val="22"/>
          <w:szCs w:val="22"/>
        </w:rPr>
        <w:t>S-Doped Het.</w:t>
      </w:r>
      <w:r>
        <w:rPr>
          <w:rFonts w:ascii="Times New Roman" w:hAnsi="Times New Roman" w:eastAsia="宋体" w:cs="Times New Roman" w:csTheme="minorBidi"/>
          <w:sz w:val="22"/>
          <w:szCs w:val="22"/>
        </w:rPr>
        <w:t>S-Doped Het.</w:t>
      </w:r>
      <w:r>
        <w:rPr>
          <w:rFonts w:ascii="Times New Roman" w:hAnsi="Times New Roman" w:eastAsia="宋体" w:cs="Times New Roman" w:csTheme="minorBidi"/>
          <w:sz w:val="22"/>
          <w:szCs w:val="22"/>
        </w:rPr>
        <w:t xml:space="preserve"> 和 </w:t>
      </w:r>
      <w:r>
        <w:rPr>
          <w:rFonts w:ascii="Times New Roman" w:hAnsi="Times New Roman" w:eastAsia="宋体" w:cs="Times New Roman" w:csTheme="minorBidi"/>
          <w:b/>
          <w:bCs/>
          <w:sz w:val="22"/>
          <w:szCs w:val="22"/>
        </w:rPr>
        <w:t>S-Exposed Het.</w:t>
      </w:r>
      <w:r>
        <w:rPr>
          <w:rFonts w:ascii="Times New Roman" w:hAnsi="Times New Roman" w:eastAsia="宋体" w:cs="Times New Roman" w:csTheme="minorBidi"/>
          <w:sz w:val="22"/>
          <w:szCs w:val="22"/>
        </w:rPr>
        <w:t>S-Exposed Het.</w:t>
      </w:r>
      <w:r>
        <w:rPr>
          <w:rFonts w:ascii="Times New Roman" w:hAnsi="Times New Roman" w:eastAsia="宋体" w:cs="Times New Roman" w:csTheme="minorBidi"/>
          <w:sz w:val="22"/>
          <w:szCs w:val="22"/>
        </w:rPr>
        <w:t xml:space="preserve"> 均呈现 </w:t>
      </w:r>
      <w:r>
        <w:rPr>
          <w:rFonts w:ascii="Times New Roman" w:hAnsi="Times New Roman" w:eastAsia="宋体" w:cs="Times New Roman" w:csTheme="minorBidi"/>
          <w:b/>
          <w:bCs/>
          <w:sz w:val="22"/>
          <w:szCs w:val="22"/>
        </w:rPr>
        <w:t>Type I（straddling gap）</w:t>
      </w:r>
      <w:r>
        <w:rPr>
          <w:rFonts w:ascii="Times New Roman" w:hAnsi="Times New Roman" w:eastAsia="宋体" w:cs="Times New Roman" w:csTheme="minorBidi"/>
          <w:sz w:val="22"/>
          <w:szCs w:val="22"/>
        </w:rPr>
        <w:t>Type I（straddling gap）</w:t>
      </w:r>
      <w:r>
        <w:rPr>
          <w:rFonts w:ascii="Times New Roman" w:hAnsi="Times New Roman" w:eastAsia="宋体" w:cs="Times New Roman" w:csTheme="minorBidi"/>
          <w:sz w:val="22"/>
          <w:szCs w:val="22"/>
        </w:rPr>
        <w:t xml:space="preserve"> 型排列。Type I 排列中，LDH 的导带高于 CMCH 的导带、价带低于 CMCH 的价带，即 LDH 的带隙完全覆盖 CMCH 的带隙。在 Type I 排列下，光生载流子倾向于向带隙较窄的组分（此处为 S 掺杂的 LDH，其带隙在异质结总 DOS 中为 0.26-0.37 eV）迁移并复合。</w:t>
      </w:r>
    </w:p>
    <w:p w14:paraId="2AF41B3F">
      <w:pPr>
        <w:spacing w:before="60" w:after="60" w:line="360" w:lineRule="auto"/>
      </w:pPr>
      <w:r>
        <w:rPr>
          <w:rFonts w:ascii="Times New Roman" w:hAnsi="Times New Roman" w:eastAsia="宋体" w:cs="Times New Roman" w:csTheme="minorBidi"/>
          <w:sz w:val="22"/>
          <w:szCs w:val="22"/>
        </w:rPr>
        <w:t>从 Type III 到 Type I 的转变是本征与 S 掺杂异质结之间最关键的电子结构差异。这一转变意味着 S 掺杂不仅通过引入带隙中间态降低了 LDH 自身的电阻（3.2 节所述），还从根本上改变了界面能带拓扑结构，将本征的"交叠导电"模式转变为 S 掺杂后的"限域复合"模式。从实验电化学性能来看，S 掺杂体系（S1-CMCH@NC-LDHs）的 Rct 进一步降低至 0.57 Ω（低于本征的 0.78 Ω），表明 Type I 排列下 LDH 层自身的近金属导电性（0.05 eV 带隙）为主导因素，界面能带排列类型转变的影响退居次要但不可忽略。</w:t>
      </w:r>
    </w:p>
    <w:p w14:paraId="2A4F4B3C">
      <w:pPr>
        <w:spacing w:before="120" w:after="120" w:line="360" w:lineRule="auto"/>
        <w:ind w:left="567"/>
      </w:pPr>
      <w:r>
        <w:rPr>
          <w:rFonts w:ascii="Times New Roman" w:hAnsi="Times New Roman" w:eastAsia="楷体" w:cs="Times New Roman" w:csTheme="minorBidi"/>
          <w:b/>
          <w:bCs/>
          <w:color w:val="707070"/>
          <w:sz w:val="20"/>
          <w:szCs w:val="22"/>
        </w:rPr>
        <w:t>批注 [#3 能带对齐定量不确定性]</w:t>
      </w:r>
      <w:r>
        <w:rPr>
          <w:rFonts w:ascii="Times New Roman" w:hAnsi="Times New Roman" w:eastAsia="楷体" w:cs="Times New Roman" w:csTheme="minorBidi"/>
          <w:color w:val="707070"/>
          <w:sz w:val="20"/>
          <w:szCs w:val="22"/>
        </w:rPr>
        <w:t>批注 [#3 能带对齐定量不确定性]</w:t>
      </w:r>
      <w:r>
        <w:rPr>
          <w:rFonts w:ascii="Times New Roman" w:hAnsi="Times New Roman" w:eastAsia="楷体" w:cs="Times New Roman" w:csTheme="minorBidi"/>
          <w:color w:val="707070"/>
          <w:sz w:val="20"/>
          <w:szCs w:val="22"/>
        </w:rPr>
        <w:t>: 应当反复强调 LDH 单层的厚度限制。我们仅讨论能带排列类型而不报告具体数值偏移，审稿人若熟悉平均势方法可能质疑体相参考区的充分性。建议在 SI 中用 2 层 LDH slab 验证的补充计算。</w:t>
      </w:r>
    </w:p>
    <w:p w14:paraId="3C831D7B">
      <w:pPr>
        <w:pStyle w:val="Heading3"/>
        <w:spacing w:before="240" w:after="120" w:line="360" w:lineRule="auto"/>
      </w:pPr>
      <w:r>
        <w:rPr>
          <w:rFonts w:ascii="Times New Roman" w:hAnsi="Times New Roman" w:eastAsia="宋体" w:cs="Times New Roman" w:csTheme="majorBidi"/>
          <w:b/>
          <w:bCs/>
          <w:color w:val="4F81BD" w:themeColor="accent1"/>
          <w:sz w:val="26"/>
          <w:szCs w:val="22"/>
        </w:rPr>
        <w:t>3.6. 界面结合能与界面稳定性</w:t>
      </w:r>
    </w:p>
    <w:p w14:paraId="339D5AC2">
      <w:pPr>
        <w:spacing w:before="60" w:after="60" w:line="360" w:lineRule="auto"/>
      </w:pPr>
      <w:r>
        <w:rPr>
          <w:rFonts w:ascii="Times New Roman" w:hAnsi="Times New Roman" w:eastAsia="宋体" w:cs="Times New Roman" w:csTheme="minorBidi"/>
          <w:sz w:val="22"/>
          <w:szCs w:val="22"/>
        </w:rPr>
        <w:t>界面结合能 E_bind（定义为 E_hetero − E_CMCH − E_LDH，负值表示稳定界面）用于量化异质结界面的热力学稳定性。三个异质结的 E_bind 均为负值（图 X），证实了异质结在热力学上是稳定的。本征异质结的 E_bind 为 −3.01 eV（−0.031 eV/Å²）。引入硫掺杂后，界面结合能略有增强：S-Doped Het. 为 −3.34 eV（−0.034 eV/Å²），S-Exposed Het. 为 −3.25 eV（−0.033 eV/Å²）。S 掺杂使界面结合强度提升约 0.24-0.33 eV（约 10%），这一增强效应在 S 远离界面的情况下（s_doped）略强于 S 直接暴露在界面的情况（s_exposed）。</w:t>
      </w:r>
    </w:p>
    <w:p w14:paraId="5190E17A">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：界面结合能衡量两种材料"粘在一起"的牢固程度。负值越大（绝对值越大）意味着结合越牢固。−3.01 eV 的含义是：把 CMCH 和 LDH 分开需要输入 3.01 eV 的能量（等价于约 290 kJ/mol，与一个强化学键相当）。S 掺杂使结合能进一步增大到 −3.34 eV，意味着 S 掺杂后的异质结更加稳定。这与实验中 S 掺杂样品的循环稳定性更好（5000 次充放电后容量保持率从 77.3% 提升至 79.9%）趋势一致——界面更稳定，意味着反复充放电过程中界面不易剥离失效。</w:t>
      </w:r>
    </w:p>
    <w:p w14:paraId="637FA8AC">
      <w:pPr>
        <w:spacing w:before="60" w:after="60" w:line="360" w:lineRule="auto"/>
      </w:pPr>
      <w:r>
        <w:rPr>
          <w:rFonts w:ascii="Times New Roman" w:hAnsi="Times New Roman" w:eastAsia="宋体" w:cs="Times New Roman" w:csTheme="minorBidi"/>
          <w:sz w:val="22"/>
          <w:szCs w:val="22"/>
        </w:rPr>
        <w:t>界面结合能的增强可能源于：（1）S 掺杂增加了 LDH 层板的极化率（S 的电子云较 O 更容易形变），增强了色散相互作用；（2）掺杂引起的晶格畸变使界面处的原子接触更加紧密。尽管 E_bind 的绝对值（~0.03 eV/Å²）属于典型的范德华主导的弱结合界面（共价/离子键结合的界面通常在 0.1-0.5 eV/Å² 量级），但 CMCH 和 LDH 均为极性表面，界面处的静电相互作用也贡献了相当比例的稳定能。S 掺杂引起的界面结合增强与实验上 S 掺杂样品在循环稳定性方面的改善（5000 圈后容量保持率从 77.3% 提升至 79.9%）定性一致。</w:t>
      </w:r>
    </w:p>
    <w:p w14:paraId="6FAB11B3">
      <w:pPr>
        <w:pStyle w:val="Heading3"/>
        <w:spacing w:before="240" w:after="120" w:line="360" w:lineRule="auto"/>
      </w:pPr>
      <w:r>
        <w:rPr>
          <w:rFonts w:ascii="Times New Roman" w:hAnsi="Times New Roman" w:eastAsia="宋体" w:cs="Times New Roman" w:csTheme="majorBidi"/>
          <w:b/>
          <w:bCs/>
          <w:color w:val="4F81BD" w:themeColor="accent1"/>
          <w:sz w:val="26"/>
          <w:szCs w:val="22"/>
        </w:rPr>
        <w:t>3.7. 界面电荷重分布</w:t>
      </w:r>
    </w:p>
    <w:p w14:paraId="7F549FD6">
      <w:pPr>
        <w:spacing w:before="60" w:after="60" w:line="360" w:lineRule="auto"/>
      </w:pPr>
      <w:r>
        <w:rPr>
          <w:rFonts w:ascii="Times New Roman" w:hAnsi="Times New Roman" w:eastAsia="宋体" w:cs="Times New Roman" w:csTheme="minorBidi"/>
          <w:sz w:val="22"/>
          <w:szCs w:val="22"/>
        </w:rPr>
        <w:t>利用 LOCPOT 静电势差分法（ΔV(z) = V_hetero − V_CMCH − V_LDH，并通过泊松方程反推 Δρ(z)），我们分析了三个异质结在界面处的电荷重分布特征，结果汇总于表 2。</w:t>
      </w:r>
    </w:p>
    <w:p w14:paraId="062D2D11">
      <w:pPr>
        <w:spacing w:before="60" w:after="60" w:line="360" w:lineRule="auto"/>
      </w:pPr>
      <w:r>
        <w:rPr>
          <w:rFonts w:ascii="Times New Roman" w:hAnsi="Times New Roman" w:eastAsia="宋体" w:cs="Times New Roman" w:csTheme="minorBidi"/>
          <w:b/>
          <w:bCs/>
          <w:sz w:val="22"/>
          <w:szCs w:val="22"/>
        </w:rPr>
        <w:t>表 2 | 各异质结在界面区域（界面位置 ±2 Å 范围内）的净电荷转移</w:t>
      </w:r>
      <w:r>
        <w:rPr>
          <w:rFonts w:ascii="Times New Roman" w:hAnsi="Times New Roman" w:eastAsia="宋体" w:cs="Times New Roman" w:csTheme="minorBidi"/>
          <w:sz w:val="22"/>
          <w:szCs w:val="22"/>
        </w:rPr>
        <w:t>表 2 | 各异质结在界面区域（界面位置 ±2 Å 范围内）的净电荷转移</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340"/>
        <w:gridCol w:w="2340"/>
        <w:gridCol w:w="2340"/>
        <w:gridCol w:w="2340"/>
      </w:tblGrid>
      <w:tr>
        <w:tc>
          <w:tcPr>
            <w:tcW w:w="2340" w:type="dxa"/>
            <w:tcBorders>
              <w:top w:val="single" w:sz="4" w:space="0" w:color="auto"/>
              <w:left w:val="single" w:sz="4" w:space="0" w:color="auto"/>
              <w:bottom w:val="single" w:sz="4" w:space="0" w:color="auto"/>
              <w:right w:val="single" w:sz="4" w:space="0" w:color="auto"/>
            </w:tcBorders>
            <w:shd w:val="clear" w:fill="D9E2F3"/>
            <w:tcMar>
              <w:top w:w="0" w:type="dxa"/>
              <w:left w:w="108" w:type="dxa"/>
              <w:bottom w:w="0" w:type="dxa"/>
              <w:right w:w="108" w:type="dxa"/>
            </w:tcMar>
          </w:tcPr>
          <w:p w14:paraId="2F98DB51">
            <w:pPr>
              <w:spacing w:after="200" w:line="276" w:lineRule="auto"/>
            </w:pPr>
            <w:r/>
            <w:r>
              <w:rPr>
                <w:rFonts w:ascii="Times New Roman" w:hAnsi="Times New Roman" w:eastAsia="宋体" w:cs="Times New Roman" w:csTheme="minorBidi"/>
                <w:b/>
                <w:bCs/>
                <w:sz w:val="20"/>
                <w:szCs w:val="22"/>
              </w:rPr>
              <w:t>异质结</w:t>
            </w:r>
          </w:p>
        </w:tc>
        <w:tc>
          <w:tcPr>
            <w:tcW w:w="2340" w:type="dxa"/>
            <w:tcBorders>
              <w:top w:val="single" w:sz="4" w:space="0" w:color="auto"/>
              <w:left w:val="single" w:sz="4" w:space="0" w:color="auto"/>
              <w:bottom w:val="single" w:sz="4" w:space="0" w:color="auto"/>
              <w:right w:val="single" w:sz="4" w:space="0" w:color="auto"/>
            </w:tcBorders>
            <w:shd w:val="clear" w:fill="D9E2F3"/>
            <w:tcMar>
              <w:top w:w="0" w:type="dxa"/>
              <w:left w:w="108" w:type="dxa"/>
              <w:bottom w:w="0" w:type="dxa"/>
              <w:right w:w="108" w:type="dxa"/>
            </w:tcMar>
          </w:tcPr>
          <w:p w14:paraId="5AFDA35C">
            <w:pPr>
              <w:spacing w:after="200" w:line="276" w:lineRule="auto"/>
            </w:pPr>
            <w:r/>
            <w:r>
              <w:rPr>
                <w:rFonts w:ascii="Times New Roman" w:hAnsi="Times New Roman" w:eastAsia="宋体" w:cs="Times New Roman" w:csTheme="minorBidi"/>
                <w:b/>
                <w:bCs/>
                <w:sz w:val="20"/>
                <w:szCs w:val="22"/>
              </w:rPr>
              <w:t>界面净电荷 (e⁻)</w:t>
            </w:r>
          </w:p>
        </w:tc>
        <w:tc>
          <w:tcPr>
            <w:tcW w:w="2340" w:type="dxa"/>
            <w:tcBorders>
              <w:top w:val="single" w:sz="4" w:space="0" w:color="auto"/>
              <w:left w:val="single" w:sz="4" w:space="0" w:color="auto"/>
              <w:bottom w:val="single" w:sz="4" w:space="0" w:color="auto"/>
              <w:right w:val="single" w:sz="4" w:space="0" w:color="auto"/>
            </w:tcBorders>
            <w:shd w:val="clear" w:fill="D9E2F3"/>
            <w:tcMar>
              <w:top w:w="0" w:type="dxa"/>
              <w:left w:w="108" w:type="dxa"/>
              <w:bottom w:w="0" w:type="dxa"/>
              <w:right w:w="108" w:type="dxa"/>
            </w:tcMar>
          </w:tcPr>
          <w:p w14:paraId="74312A91">
            <w:pPr>
              <w:spacing w:after="200" w:line="276" w:lineRule="auto"/>
            </w:pPr>
            <w:r/>
            <w:r>
              <w:rPr>
                <w:rFonts w:ascii="Times New Roman" w:hAnsi="Times New Roman" w:eastAsia="宋体" w:cs="Times New Roman" w:csTheme="minorBidi"/>
                <w:b/>
                <w:bCs/>
                <w:sz w:val="20"/>
                <w:szCs w:val="22"/>
              </w:rPr>
              <w:t>界面偶极矩 (eV·Å)</w:t>
            </w:r>
          </w:p>
        </w:tc>
        <w:tc>
          <w:tcPr>
            <w:tcW w:w="2340" w:type="dxa"/>
            <w:tcBorders>
              <w:top w:val="single" w:sz="4" w:space="0" w:color="auto"/>
              <w:left w:val="single" w:sz="4" w:space="0" w:color="auto"/>
              <w:bottom w:val="single" w:sz="4" w:space="0" w:color="auto"/>
              <w:right w:val="single" w:sz="4" w:space="0" w:color="auto"/>
            </w:tcBorders>
            <w:shd w:val="clear" w:fill="D9E2F3"/>
            <w:tcMar>
              <w:top w:w="0" w:type="dxa"/>
              <w:left w:w="108" w:type="dxa"/>
              <w:bottom w:w="0" w:type="dxa"/>
              <w:right w:w="108" w:type="dxa"/>
            </w:tcMar>
          </w:tcPr>
          <w:p w14:paraId="3CB8FDC8">
            <w:pPr>
              <w:spacing w:after="200" w:line="276" w:lineRule="auto"/>
            </w:pPr>
            <w:r/>
            <w:r>
              <w:rPr>
                <w:rFonts w:ascii="Times New Roman" w:hAnsi="Times New Roman" w:eastAsia="宋体" w:cs="Times New Roman" w:csTheme="minorBidi"/>
                <w:b/>
                <w:bCs/>
                <w:sz w:val="20"/>
                <w:szCs w:val="22"/>
              </w:rPr>
              <w:t>界面位置 (Å)</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91CAA">
            <w:pPr>
              <w:spacing w:after="200" w:line="276" w:lineRule="auto"/>
            </w:pPr>
            <w:r/>
            <w:r>
              <w:rPr>
                <w:rFonts w:ascii="Times New Roman" w:hAnsi="Times New Roman" w:eastAsia="宋体" w:cs="Times New Roman" w:csTheme="minorBidi"/>
                <w:sz w:val="20"/>
                <w:szCs w:val="22"/>
              </w:rPr>
              <w:t>Intrinsic Het.</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86365E">
            <w:pPr>
              <w:spacing w:after="200" w:line="276" w:lineRule="auto"/>
            </w:pPr>
            <w:r/>
            <w:r>
              <w:rPr>
                <w:rFonts w:ascii="Times New Roman" w:hAnsi="Times New Roman" w:eastAsia="宋体" w:cs="Times New Roman" w:csTheme="minorBidi"/>
                <w:sz w:val="20"/>
                <w:szCs w:val="22"/>
              </w:rPr>
              <w:t>−0.81</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C6D659">
            <w:pPr>
              <w:spacing w:after="200" w:line="276" w:lineRule="auto"/>
            </w:pPr>
            <w:r/>
            <w:r>
              <w:rPr>
                <w:rFonts w:ascii="Times New Roman" w:hAnsi="Times New Roman" w:eastAsia="宋体" w:cs="Times New Roman" w:csTheme="minorBidi"/>
                <w:sz w:val="20"/>
                <w:szCs w:val="22"/>
              </w:rPr>
              <w:t>+4.96</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12AA50">
            <w:pPr>
              <w:spacing w:after="200" w:line="276" w:lineRule="auto"/>
            </w:pPr>
            <w:r/>
            <w:r>
              <w:rPr>
                <w:rFonts w:ascii="Times New Roman" w:hAnsi="Times New Roman" w:eastAsia="宋体" w:cs="Times New Roman" w:csTheme="minorBidi"/>
                <w:sz w:val="20"/>
                <w:szCs w:val="22"/>
              </w:rPr>
              <w:t>8.86</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F620BD">
            <w:pPr>
              <w:spacing w:after="200" w:line="276" w:lineRule="auto"/>
            </w:pPr>
            <w:r/>
            <w:r>
              <w:rPr>
                <w:rFonts w:ascii="Times New Roman" w:hAnsi="Times New Roman" w:eastAsia="宋体" w:cs="Times New Roman" w:csTheme="minorBidi"/>
                <w:sz w:val="20"/>
                <w:szCs w:val="22"/>
              </w:rPr>
              <w:t>S-Doped Het.</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412588">
            <w:pPr>
              <w:spacing w:after="200" w:line="276" w:lineRule="auto"/>
            </w:pPr>
            <w:r/>
            <w:r>
              <w:rPr>
                <w:rFonts w:ascii="Times New Roman" w:hAnsi="Times New Roman" w:eastAsia="宋体" w:cs="Times New Roman" w:csTheme="minorBidi"/>
                <w:sz w:val="20"/>
                <w:szCs w:val="22"/>
              </w:rPr>
              <w:t>+3.54</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BADE89">
            <w:pPr>
              <w:spacing w:after="200" w:line="276" w:lineRule="auto"/>
            </w:pPr>
            <w:r/>
            <w:r>
              <w:rPr>
                <w:rFonts w:ascii="Times New Roman" w:hAnsi="Times New Roman" w:eastAsia="宋体" w:cs="Times New Roman" w:csTheme="minorBidi"/>
                <w:sz w:val="20"/>
                <w:szCs w:val="22"/>
              </w:rPr>
              <w:t>−4.00</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91534E">
            <w:pPr>
              <w:spacing w:after="200" w:line="276" w:lineRule="auto"/>
            </w:pPr>
            <w:r/>
            <w:r>
              <w:rPr>
                <w:rFonts w:ascii="Times New Roman" w:hAnsi="Times New Roman" w:eastAsia="宋体" w:cs="Times New Roman" w:csTheme="minorBidi"/>
                <w:sz w:val="20"/>
                <w:szCs w:val="22"/>
              </w:rPr>
              <w:t>8.86</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207238">
            <w:pPr>
              <w:spacing w:after="200" w:line="276" w:lineRule="auto"/>
            </w:pPr>
            <w:r/>
            <w:r>
              <w:rPr>
                <w:rFonts w:ascii="Times New Roman" w:hAnsi="Times New Roman" w:eastAsia="宋体" w:cs="Times New Roman" w:csTheme="minorBidi"/>
                <w:sz w:val="20"/>
                <w:szCs w:val="22"/>
              </w:rPr>
              <w:t>S-Exposed Het.</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072254">
            <w:pPr>
              <w:spacing w:after="200" w:line="276" w:lineRule="auto"/>
            </w:pPr>
            <w:r/>
            <w:r>
              <w:rPr>
                <w:rFonts w:ascii="Times New Roman" w:hAnsi="Times New Roman" w:eastAsia="宋体" w:cs="Times New Roman" w:csTheme="minorBidi"/>
                <w:sz w:val="20"/>
                <w:szCs w:val="22"/>
              </w:rPr>
              <w:t>−2.07</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845F22">
            <w:pPr>
              <w:spacing w:after="200" w:line="276" w:lineRule="auto"/>
            </w:pPr>
            <w:r/>
            <w:r>
              <w:rPr>
                <w:rFonts w:ascii="Times New Roman" w:hAnsi="Times New Roman" w:eastAsia="宋体" w:cs="Times New Roman" w:csTheme="minorBidi"/>
                <w:sz w:val="20"/>
                <w:szCs w:val="22"/>
              </w:rPr>
              <w:t>+10.18</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484F9B">
            <w:pPr>
              <w:spacing w:after="200" w:line="276" w:lineRule="auto"/>
            </w:pPr>
            <w:r/>
            <w:r>
              <w:rPr>
                <w:rFonts w:ascii="Times New Roman" w:hAnsi="Times New Roman" w:eastAsia="宋体" w:cs="Times New Roman" w:csTheme="minorBidi"/>
                <w:sz w:val="20"/>
                <w:szCs w:val="22"/>
              </w:rPr>
              <w:t>8.06</w:t>
            </w:r>
          </w:p>
        </w:tc>
      </w:tr>
    </w:tbl>
    <w:p w14:paraId="242064B7">
      <w:pPr>
        <w:spacing w:after="200" w:line="276" w:lineRule="auto"/>
      </w:pPr>
    </w:p>
    <w:p w14:paraId="56B54E4F">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：界面净电荷的正负号表示电子流动的方向——负值代表电子从 LDH 流向 CMCH（本征和 S-Exposed 的情况），正值代表相反方向（S-Doped 的情况）。这可以理解为界面处形成了一个"微观电池"：电子自发从一侧流向另一侧，建立了一个内建电场。界面偶极矩则是这种电荷分离产生的"力矩"，越大意味着界面处的电荷分离越强。注意 S-Doped 和 S-Exposed 的电荷转移方向不同——S 掺杂剂的位置改变了界面电荷平衡，这说明实验中 S 在 LDH 层板中的实际分布位置对电化学性能有重要影响。</w:t>
      </w:r>
    </w:p>
    <w:p w14:paraId="18469DBB">
      <w:pPr>
        <w:spacing w:before="60" w:after="60" w:line="360" w:lineRule="auto"/>
      </w:pPr>
      <w:r>
        <w:rPr>
          <w:rFonts w:ascii="Times New Roman" w:hAnsi="Times New Roman" w:eastAsia="宋体" w:cs="Times New Roman" w:csTheme="minorBidi"/>
          <w:sz w:val="22"/>
          <w:szCs w:val="22"/>
        </w:rPr>
        <w:t>本征异质结的界面电荷转移为 −0.81 e⁻（负值表示电子从 LDH 侧向 CMCH 侧净转移），方向与功函数差异（LDH Φ = 3.06 eV &lt; CMCH Φ = 5.38 eV）所预示的一致——电子从低功函数（LDH）流向高功函数（CMCH），直至界面处费米能级达到平衡。界面偶极矩为 +4.96 eV·Å，其方向与电子转移方向一致，即 LDH 侧形成正电荷积累、CMCH 侧形成负电荷积累，产生的偶极指向从 LDH 到 CMCH 的方向。</w:t>
      </w:r>
    </w:p>
    <w:p w14:paraId="09243477">
      <w:pPr>
        <w:spacing w:before="60" w:after="60" w:line="360" w:lineRule="auto"/>
      </w:pPr>
      <w:r>
        <w:rPr>
          <w:rFonts w:ascii="Times New Roman" w:hAnsi="Times New Roman" w:eastAsia="宋体" w:cs="Times New Roman" w:csTheme="minorBidi"/>
          <w:sz w:val="22"/>
          <w:szCs w:val="22"/>
        </w:rPr>
        <w:t>S 掺杂异质结（S-Doped）表现出与方向相反的净电荷转移（+3.54 e⁻，即电子从 CMCH 向 LDH 转移）和反向的界面偶极（−4.00 eV·Å）。这一反转表明 S 掺杂通过以下机制改变了界面电荷平衡：（1）S 掺杂层中的 S²⁻ 电荷状态（Δq_S ≈ −0.8 e）改变了 LDH 层板的静电势；（2）S 掺杂使 LDH 功函数降低（3.06 → 2.92 eV），进一步扩大与 CMCH 的功函数差，但方向仍然是从 LDH 向 CMCH 转移电子。因此，观察到的反转暗示 S 掺杂引起了更复杂的界面极化效应，可能涉及 S 诱导的局域偶极和界面重构。</w:t>
      </w:r>
    </w:p>
    <w:p w14:paraId="49E5DCD2">
      <w:pPr>
        <w:spacing w:before="60" w:after="60" w:line="360" w:lineRule="auto"/>
      </w:pPr>
      <w:r>
        <w:rPr>
          <w:rFonts w:ascii="Times New Roman" w:hAnsi="Times New Roman" w:eastAsia="宋体" w:cs="Times New Roman" w:csTheme="minorBidi"/>
          <w:sz w:val="22"/>
          <w:szCs w:val="22"/>
        </w:rPr>
        <w:t>S 暴露异质结（S-Exposed）的界面电荷转移为 −2.07 e⁻，方向与本征一致（电子从 LDH 到 CMCH），但量值为本征的约 2.6 倍。界面偶极矩也显著增大至 +10.18 eV·Å。S 位于界面附近时对界面电荷重分布的增强效应，与 LDH 应变 slab 功函数从 3.06 eV 升至 3.62 eV（S_flip_strained）的变化一致——S 靠近界面时产生的界面偶极与原有界面偶极叠加，导致净电荷转移和界面静电势跳变均显著增大。</w:t>
      </w:r>
    </w:p>
    <w:p w14:paraId="1BC15A39">
      <w:pPr>
        <w:spacing w:before="60" w:after="60" w:line="360" w:lineRule="auto"/>
      </w:pPr>
      <w:r>
        <w:rPr>
          <w:rFonts w:ascii="Times New Roman" w:hAnsi="Times New Roman" w:eastAsia="宋体" w:cs="Times New Roman" w:csTheme="minorBidi"/>
          <w:sz w:val="22"/>
          <w:szCs w:val="22"/>
        </w:rPr>
        <w:t>这些结果表明，S 掺杂对界面电荷平衡的影响高度依赖于 S 在层板中的空间位置：S 远离界面时可能反转界面电荷转移方向，而 S 靠近界面时则显著增强本征方向的电荷转移。实验合成的 S1-CMCH@NC-LDHs 样品中，S 的空间分布是统计的，可能同时存在上述两种构型。最终观测到的电化学性能提升（Rct 降低 27%、比电容提升 55%）是各个局部构型综合贡献的结果。</w:t>
      </w:r>
    </w:p>
    <w:p w14:paraId="70620E44">
      <w:pPr>
        <w:pStyle w:val="Heading3"/>
        <w:spacing w:before="240" w:after="120" w:line="360" w:lineRule="auto"/>
      </w:pPr>
      <w:r>
        <w:rPr>
          <w:rFonts w:ascii="Times New Roman" w:hAnsi="Times New Roman" w:eastAsia="宋体" w:cs="Times New Roman" w:csTheme="majorBidi"/>
          <w:b/>
          <w:bCs/>
          <w:color w:val="4F81BD" w:themeColor="accent1"/>
          <w:sz w:val="26"/>
          <w:szCs w:val="22"/>
        </w:rPr>
        <w:t>3.8. 结构验证与模型局限性</w:t>
      </w:r>
    </w:p>
    <w:p w14:paraId="0F1EFE8A">
      <w:pPr>
        <w:spacing w:before="60" w:after="60" w:line="360" w:lineRule="auto"/>
      </w:pPr>
      <w:r>
        <w:rPr>
          <w:rFonts w:ascii="Times New Roman" w:hAnsi="Times New Roman" w:eastAsia="宋体" w:cs="Times New Roman" w:csTheme="minorBidi"/>
          <w:sz w:val="22"/>
          <w:szCs w:val="22"/>
        </w:rPr>
        <w:t>为验证计算结构模型的可靠性，我们将计算得到的 X 射线衍射（XRD）谱图与样品 S1-CMCH@NC-LDHs 的实验谱图进行了对比。CMCH 基底的计算主峰（33.34°, 3,0,-2 晶面）与实验观测（33.65°）的差值约 0.31°，晶格参数 a = 9.74 Å 和 b = 9.45 Å 与 CMCH 的 XRD 衍射数据吻合良好。LDH 组分由于模型构建中未包含实验存在的层间阴离子（NO₃⁻, CO₃²⁻），其计算 c 轴（9.03 Å）显著小于实际层状结构的 c 轴（由 11.6° 处的衍射峰推算约为 22.8 Å 对应三层板），因此 LDH 的 XRD 衍射峰不能直接与实验对比，但不影响面内电子结构的分析。</w:t>
      </w:r>
    </w:p>
    <w:p w14:paraId="6E90499F">
      <w:pPr>
        <w:spacing w:before="120" w:after="120" w:line="360" w:lineRule="auto"/>
        <w:ind w:left="567"/>
      </w:pPr>
      <w:r>
        <w:rPr>
          <w:rFonts w:ascii="Times New Roman" w:hAnsi="Times New Roman" w:eastAsia="楷体" w:cs="Times New Roman" w:csTheme="minorBidi"/>
          <w:b/>
          <w:bCs/>
          <w:color w:val="007070"/>
          <w:sz w:val="20"/>
          <w:szCs w:val="22"/>
        </w:rPr>
        <w:t>注解</w:t>
      </w:r>
      <w:r>
        <w:rPr>
          <w:rFonts w:ascii="Times New Roman" w:hAnsi="Times New Roman" w:eastAsia="楷体" w:cs="Times New Roman" w:csTheme="minorBidi"/>
          <w:color w:val="007070"/>
          <w:sz w:val="20"/>
          <w:szCs w:val="22"/>
        </w:rPr>
        <w:t>注解</w:t>
      </w:r>
      <w:r>
        <w:rPr>
          <w:rFonts w:ascii="Times New Roman" w:hAnsi="Times New Roman" w:eastAsia="楷体" w:cs="Times New Roman" w:csTheme="minorBidi"/>
          <w:color w:val="007070"/>
          <w:sz w:val="20"/>
          <w:szCs w:val="22"/>
        </w:rPr>
        <w:t>：XRD 峰位偏差约 0.31° 对于这种复杂体系的 DFXRD 模拟来说是可以接受的范围。通常 XRD 峰位匹配到 0.5° 以内就认为是合理的，因为模拟使用的模型是"完美晶体"（没有缺陷、没有热振动、没有层间离子），而实际样品有很多"不完美"——这些不完美会导致衍射峰发生微小偏移。更重要的是，我们正确地预测了最强峰的位置和对应的晶面，这确认了我们的结构模型（包括 Mn 的取代位置）与实验合成的材料在晶体结构层面上是一致的。</w:t>
      </w:r>
    </w:p>
    <w:p w14:paraId="22021A74">
      <w:pPr>
        <w:spacing w:before="60" w:after="60" w:line="360" w:lineRule="auto"/>
      </w:pPr>
      <w:r>
        <w:rPr>
          <w:rFonts w:ascii="Times New Roman" w:hAnsi="Times New Roman" w:eastAsia="宋体" w:cs="Times New Roman" w:csTheme="minorBidi"/>
          <w:sz w:val="22"/>
          <w:szCs w:val="22"/>
        </w:rPr>
        <w:t>Level 2 晶格一致策略的完成使我们能够系统分离应变效应和界面效应对电子结构的贡献。通过构建共享同一面内晶格的 7 个体系（4 个应变 slab + 3 个异质结），实现了：（1）应变 slab 直接作为能带对齐的参考势（消除 slab 与异质结之间晶格差异造成的静电位移）；（2）同一 FFT 网格使 3D 差分电荷密度计算无需插值；（3）所有异质结和参考 slab 的功函数、Bader 电荷等电子结构指标在同一应变状态下可比。分析表明，约 5-6% 的近单轴应变（主要沿 a 方向）使 LDH 的带隙从体相的 2.91 eV 降至应变 slab 的 1.68 eV（本征）和 0.15 eV（S 掺杂），d-band center 也有约 0.7-1.3 eV 的下移。因此，采用应变匹配的参考 slab 进行能带对齐——而非用体相数据或自然晶格 slab——是确保分析一致性的关键。</w:t>
      </w:r>
    </w:p>
    <w:p w14:paraId="54E0F0A4">
      <w:pPr>
        <w:spacing w:before="60" w:after="60" w:line="360" w:lineRule="auto"/>
      </w:pPr>
      <w:r>
        <w:rPr>
          <w:rFonts w:ascii="Times New Roman" w:hAnsi="Times New Roman" w:eastAsia="宋体" w:cs="Times New Roman" w:csTheme="minorBidi"/>
          <w:sz w:val="22"/>
          <w:szCs w:val="22"/>
        </w:rPr>
        <w:t>需要说明的模型局限性包括：</w:t>
      </w:r>
    </w:p>
    <w:p w14:paraId="5F89C14A">
      <w:pPr>
        <w:spacing w:before="60" w:after="60" w:line="360" w:lineRule="auto"/>
      </w:pPr>
      <w:r>
        <w:rPr>
          <w:rFonts w:ascii="Times New Roman" w:hAnsi="Times New Roman" w:eastAsia="宋体" w:cs="Times New Roman" w:csTheme="minorBidi"/>
          <w:sz w:val="22"/>
          <w:szCs w:val="22"/>
        </w:rPr>
        <w:t>（1）</w:t>
      </w:r>
      <w:r>
        <w:rPr>
          <w:rFonts w:ascii="Times New Roman" w:hAnsi="Times New Roman" w:eastAsia="宋体" w:cs="Times New Roman" w:csTheme="minorBidi"/>
          <w:b/>
          <w:bCs/>
          <w:sz w:val="22"/>
          <w:szCs w:val="22"/>
        </w:rPr>
        <w:t>LDH 单层 slab 厚度及能带对齐的不确定性</w:t>
      </w:r>
      <w:r>
        <w:rPr>
          <w:rFonts w:ascii="Times New Roman" w:hAnsi="Times New Roman" w:eastAsia="宋体" w:cs="Times New Roman" w:csTheme="minorBidi"/>
          <w:sz w:val="22"/>
          <w:szCs w:val="22"/>
        </w:rPr>
        <w:t>LDH 单层 slab 厚度及能带对齐的不确定性</w:t>
      </w:r>
      <w:r>
        <w:rPr>
          <w:rFonts w:ascii="Times New Roman" w:hAnsi="Times New Roman" w:eastAsia="宋体" w:cs="Times New Roman" w:csTheme="minorBidi"/>
          <w:sz w:val="22"/>
          <w:szCs w:val="22"/>
        </w:rPr>
        <w:t>：LDH slab 仅含单层金属原子（~4 Å），用于平均势能带对齐方法的"体相参考区"仅约 1.6 Å（对应 3-4 个 FFT 网格点），远未达到严格体相平台所需的收敛标准。因此，能带对齐结果中的静电势参考值（V_ref_LDH）存在显著不确定性，预计 VB/CB 偏移的定量不确定度 ≥ 0.3 eV。本报告中不报告具体的能带偏移数值，仅讨论定性的能带排列类型。双层 LDH slab 验证计算计划在后续工作中完成。</w:t>
      </w:r>
    </w:p>
    <w:p w14:paraId="55C70F69">
      <w:pPr>
        <w:spacing w:before="120" w:after="120" w:line="360" w:lineRule="auto"/>
        <w:ind w:left="567"/>
      </w:pPr>
      <w:r>
        <w:rPr>
          <w:rFonts w:ascii="Times New Roman" w:hAnsi="Times New Roman" w:eastAsia="楷体" w:cs="Times New Roman" w:csTheme="minorBidi"/>
          <w:b/>
          <w:bCs/>
          <w:color w:val="707070"/>
          <w:sz w:val="20"/>
          <w:szCs w:val="22"/>
        </w:rPr>
        <w:t>批注 [#3 体相区量化]</w:t>
      </w:r>
      <w:r>
        <w:rPr>
          <w:rFonts w:ascii="Times New Roman" w:hAnsi="Times New Roman" w:eastAsia="楷体" w:cs="Times New Roman" w:csTheme="minorBidi"/>
          <w:color w:val="707070"/>
          <w:sz w:val="20"/>
          <w:szCs w:val="22"/>
        </w:rPr>
        <w:t>批注 [#3 体相区量化]</w:t>
      </w:r>
      <w:r>
        <w:rPr>
          <w:rFonts w:ascii="Times New Roman" w:hAnsi="Times New Roman" w:eastAsia="楷体" w:cs="Times New Roman" w:csTheme="minorBidi"/>
          <w:color w:val="707070"/>
          <w:sz w:val="20"/>
          <w:szCs w:val="22"/>
        </w:rPr>
        <w:t>: 以上已明确体相区实际厚度（1.6 Å）和定量不确定度（≥ 0.3 eV），并决定不报告具体数值。这是目前可以做到的最严谨表述。</w:t>
      </w:r>
    </w:p>
    <w:p w14:paraId="6B35070C">
      <w:pPr>
        <w:spacing w:before="60" w:after="60" w:line="360" w:lineRule="auto"/>
      </w:pPr>
      <w:r>
        <w:rPr>
          <w:rFonts w:ascii="Times New Roman" w:hAnsi="Times New Roman" w:eastAsia="宋体" w:cs="Times New Roman" w:csTheme="minorBidi"/>
          <w:sz w:val="22"/>
          <w:szCs w:val="22"/>
        </w:rPr>
        <w:t>（2）</w:t>
      </w:r>
      <w:r>
        <w:rPr>
          <w:rFonts w:ascii="Times New Roman" w:hAnsi="Times New Roman" w:eastAsia="宋体" w:cs="Times New Roman" w:csTheme="minorBidi"/>
          <w:b/>
          <w:bCs/>
          <w:sz w:val="22"/>
          <w:szCs w:val="22"/>
        </w:rPr>
        <w:t>异质结构建引起的应变效应</w:t>
      </w:r>
      <w:r>
        <w:rPr>
          <w:rFonts w:ascii="Times New Roman" w:hAnsi="Times New Roman" w:eastAsia="宋体" w:cs="Times New Roman" w:csTheme="minorBidi"/>
          <w:sz w:val="22"/>
          <w:szCs w:val="22"/>
        </w:rPr>
        <w:t>异质结构建引起的应变效应</w:t>
      </w:r>
      <w:r>
        <w:rPr>
          <w:rFonts w:ascii="Times New Roman" w:hAnsi="Times New Roman" w:eastAsia="宋体" w:cs="Times New Roman" w:csTheme="minorBidi"/>
          <w:sz w:val="22"/>
          <w:szCs w:val="22"/>
        </w:rPr>
        <w:t>：约 5-6% 的近单轴应变（主要沿 a 方向）对电子结构（带隙、d-band center）有不可忽略的影响。本研究中通过 Level 2 晶格一致策略，构建了共享相同面内晶格的 7 个体系（4 个应变 slab + 3 个异质结），实现了应变 slab 对异质结的精确参考。分析表明，将 LDH 体相（2.91 eV）拉伸至匹配晶格（1.68 eV）后带隙收缩约 1.23 eV，影响显著。因此，采用应变匹配而非自然晶格的参考 slab 是获得可靠能带对齐和功函数分析的必要条件。</w:t>
      </w:r>
    </w:p>
    <w:p w14:paraId="5F0D738B">
      <w:pPr>
        <w:spacing w:before="120" w:after="120" w:line="360" w:lineRule="auto"/>
        <w:ind w:left="567"/>
      </w:pPr>
      <w:r>
        <w:rPr>
          <w:rFonts w:ascii="Times New Roman" w:hAnsi="Times New Roman" w:eastAsia="楷体" w:cs="Times New Roman" w:csTheme="minorBidi"/>
          <w:b/>
          <w:bCs/>
          <w:color w:val="707070"/>
          <w:sz w:val="20"/>
          <w:szCs w:val="22"/>
        </w:rPr>
        <w:t>批注 [#8 实施确认]</w:t>
      </w:r>
      <w:r>
        <w:rPr>
          <w:rFonts w:ascii="Times New Roman" w:hAnsi="Times New Roman" w:eastAsia="楷体" w:cs="Times New Roman" w:csTheme="minorBidi"/>
          <w:color w:val="707070"/>
          <w:sz w:val="20"/>
          <w:szCs w:val="22"/>
        </w:rPr>
        <w:t>批注 [#8 实施确认]</w:t>
      </w:r>
      <w:r>
        <w:rPr>
          <w:rFonts w:ascii="Times New Roman" w:hAnsi="Times New Roman" w:eastAsia="楷体" w:cs="Times New Roman" w:csTheme="minorBidi"/>
          <w:color w:val="707070"/>
          <w:sz w:val="20"/>
          <w:szCs w:val="22"/>
        </w:rPr>
        <w:t>: [已实施] Level 2 晶格一致策略已全部完成。上述分析结果表明，应变效应确实对电子结构有显著影响（带隙变化 ~1.23 eV），证实了本工作中采用应变匹配参考 slab 的必要性。</w:t>
      </w:r>
    </w:p>
    <w:p w14:paraId="06B5CFD6">
      <w:pPr>
        <w:spacing w:before="60" w:after="60" w:line="360" w:lineRule="auto"/>
      </w:pPr>
      <w:r>
        <w:rPr>
          <w:rFonts w:ascii="Times New Roman" w:hAnsi="Times New Roman" w:eastAsia="宋体" w:cs="Times New Roman" w:csTheme="minorBidi"/>
          <w:sz w:val="22"/>
          <w:szCs w:val="22"/>
        </w:rPr>
        <w:t>（3）</w:t>
      </w:r>
      <w:r>
        <w:rPr>
          <w:rFonts w:ascii="Times New Roman" w:hAnsi="Times New Roman" w:eastAsia="宋体" w:cs="Times New Roman" w:csTheme="minorBidi"/>
          <w:b/>
          <w:bCs/>
          <w:sz w:val="22"/>
          <w:szCs w:val="22"/>
        </w:rPr>
        <w:t>所有计算基于 0 K 静态 DFT</w:t>
      </w:r>
      <w:r>
        <w:rPr>
          <w:rFonts w:ascii="Times New Roman" w:hAnsi="Times New Roman" w:eastAsia="宋体" w:cs="Times New Roman" w:csTheme="minorBidi"/>
          <w:sz w:val="22"/>
          <w:szCs w:val="22"/>
        </w:rPr>
        <w:t>所有计算基于 0 K 静态 DFT</w:t>
      </w:r>
      <w:r>
        <w:rPr>
          <w:rFonts w:ascii="Times New Roman" w:hAnsi="Times New Roman" w:eastAsia="宋体" w:cs="Times New Roman" w:csTheme="minorBidi"/>
          <w:sz w:val="22"/>
          <w:szCs w:val="22"/>
        </w:rPr>
        <w:t>：未考虑有限温度和电解质环境对界面结构的影响。实验电化学测试在 300 K 含水电解质中进行，温度效应会影响原子振动幅度、层间距离和溶剂化结构，这些因素在静态 DFT 框架下均未包含。本文的结论应视为基态电子结构层面的解释。</w:t>
      </w:r>
    </w:p>
    <w:p w14:paraId="0242E52C">
      <w:pPr>
        <w:spacing w:before="60" w:after="60" w:line="360" w:lineRule="auto"/>
      </w:pPr>
      <w:r>
        <w:rPr>
          <w:rFonts w:ascii="Times New Roman" w:hAnsi="Times New Roman" w:eastAsia="宋体" w:cs="Times New Roman" w:csTheme="minorBidi"/>
          <w:sz w:val="22"/>
          <w:szCs w:val="22"/>
        </w:rPr>
        <w:t>（4）</w:t>
      </w:r>
      <w:r>
        <w:rPr>
          <w:rFonts w:ascii="Times New Roman" w:hAnsi="Times New Roman" w:eastAsia="宋体" w:cs="Times New Roman" w:csTheme="minorBidi"/>
          <w:b/>
          <w:bCs/>
          <w:sz w:val="22"/>
          <w:szCs w:val="22"/>
        </w:rPr>
        <w:t>DFT+U 方法与 U 值验证</w:t>
      </w:r>
      <w:r>
        <w:rPr>
          <w:rFonts w:ascii="Times New Roman" w:hAnsi="Times New Roman" w:eastAsia="宋体" w:cs="Times New Roman" w:csTheme="minorBidi"/>
          <w:sz w:val="22"/>
          <w:szCs w:val="22"/>
        </w:rPr>
        <w:t>DFT+U 方法与 U 值验证</w:t>
      </w:r>
      <w:r>
        <w:rPr>
          <w:rFonts w:ascii="Times New Roman" w:hAnsi="Times New Roman" w:eastAsia="宋体" w:cs="Times New Roman" w:csTheme="minorBidi"/>
          <w:sz w:val="22"/>
          <w:szCs w:val="22"/>
        </w:rPr>
        <w:t>：U 值的选取参考了 Materials Project 标准，未进行自洽线性响应计算（如 HP 代码或 LCALCEPS 方法）。作为替代验证，我们通过磁矩分析确认了所选 U 值的合理性：Co 磁矩 2.75 μB（理论 HS 3 μB 的 92%）、Mn 磁矩 4.68 μB（理论 HS 5 μB 的 94%）、Ni 磁矩 1.82 μB（理论 HS 2 μB 的 91%），均接近预期的高自旋极限值，表明在位库仑描述是合理的。</w:t>
      </w:r>
    </w:p>
    <w:p w14:paraId="514D974C">
      <w:pPr>
        <w:spacing w:before="120" w:after="120" w:line="360" w:lineRule="auto"/>
        <w:ind w:left="567"/>
      </w:pPr>
      <w:r>
        <w:rPr>
          <w:rFonts w:ascii="Times New Roman" w:hAnsi="Times New Roman" w:eastAsia="楷体" w:cs="Times New Roman" w:csTheme="minorBidi"/>
          <w:b/>
          <w:bCs/>
          <w:color w:val="707070"/>
          <w:sz w:val="20"/>
          <w:szCs w:val="22"/>
        </w:rPr>
        <w:t>批注 [#1 U敏感性测试]</w:t>
      </w:r>
      <w:r>
        <w:rPr>
          <w:rFonts w:ascii="Times New Roman" w:hAnsi="Times New Roman" w:eastAsia="楷体" w:cs="Times New Roman" w:csTheme="minorBidi"/>
          <w:color w:val="707070"/>
          <w:sz w:val="20"/>
          <w:szCs w:val="22"/>
        </w:rPr>
        <w:t>批注 [#1 U敏感性测试]</w:t>
      </w:r>
      <w:r>
        <w:rPr>
          <w:rFonts w:ascii="Times New Roman" w:hAnsi="Times New Roman" w:eastAsia="楷体" w:cs="Times New Roman" w:csTheme="minorBidi"/>
          <w:color w:val="707070"/>
          <w:sz w:val="20"/>
          <w:szCs w:val="22"/>
        </w:rPr>
        <w:t>: [TODO: 如完成 U ± 1 eV 敏感性测试，在此处补充一句："初步的 U 值敏感性测试（±1 eV）表明主要结论不受 U 值选择的显著影响。"]</w:t>
      </w:r>
    </w:p>
    <w:p w14:paraId="440C07D1">
      <w:pPr>
        <w:spacing w:before="60" w:after="60" w:line="360" w:lineRule="auto"/>
      </w:pPr>
      <w:r>
        <w:rPr>
          <w:rFonts w:ascii="Times New Roman" w:hAnsi="Times New Roman" w:eastAsia="宋体" w:cs="Times New Roman" w:csTheme="minorBidi"/>
          <w:sz w:val="22"/>
          <w:szCs w:val="22"/>
        </w:rPr>
        <w:t>（5）</w:t>
      </w:r>
      <w:r>
        <w:rPr>
          <w:rFonts w:ascii="Times New Roman" w:hAnsi="Times New Roman" w:eastAsia="宋体" w:cs="Times New Roman" w:csTheme="minorBidi"/>
          <w:b/>
          <w:bCs/>
          <w:sz w:val="22"/>
          <w:szCs w:val="22"/>
        </w:rPr>
        <w:t>层间阴离子缺失对静电势的影响</w:t>
      </w:r>
      <w:r>
        <w:rPr>
          <w:rFonts w:ascii="Times New Roman" w:hAnsi="Times New Roman" w:eastAsia="宋体" w:cs="Times New Roman" w:csTheme="minorBidi"/>
          <w:sz w:val="22"/>
          <w:szCs w:val="22"/>
        </w:rPr>
        <w:t>层间阴离子缺失对静电势的影响</w:t>
      </w:r>
      <w:r>
        <w:rPr>
          <w:rFonts w:ascii="Times New Roman" w:hAnsi="Times New Roman" w:eastAsia="宋体" w:cs="Times New Roman" w:csTheme="minorBidi"/>
          <w:sz w:val="22"/>
          <w:szCs w:val="22"/>
        </w:rPr>
        <w:t>：当前 LDH 模型未包含实验存在的 NO₃⁻/CO₃²⁻ 层间阴离子。阴离子的缺失使层板净电荷未补偿，可能导致静电势绝对值出现系统偏移。这一缺失主要影响功函数和能带对齐中静电势参考值的绝对值，而对电荷转移、d-band center 相对趋势和带隙变化等相对量的影响较小。此外，层间阴离子的存在会屏蔽 LDH 层板的部分静电势，因此当前模型计算的功函数绝对值可能高于包含阴离子的实际情况。</w:t>
      </w:r>
    </w:p>
    <w:p w14:paraId="0255FAE0">
      <w:pPr>
        <w:spacing w:before="120" w:after="120" w:line="360" w:lineRule="auto"/>
        <w:ind w:left="567"/>
      </w:pPr>
      <w:r>
        <w:rPr>
          <w:rFonts w:ascii="Times New Roman" w:hAnsi="Times New Roman" w:eastAsia="楷体" w:cs="Times New Roman" w:csTheme="minorBidi"/>
          <w:b/>
          <w:bCs/>
          <w:color w:val="707070"/>
          <w:sz w:val="20"/>
          <w:szCs w:val="22"/>
        </w:rPr>
        <w:t>批注 [#7 阴离子静电势影响]</w:t>
      </w:r>
      <w:r>
        <w:rPr>
          <w:rFonts w:ascii="Times New Roman" w:hAnsi="Times New Roman" w:eastAsia="楷体" w:cs="Times New Roman" w:csTheme="minorBidi"/>
          <w:color w:val="707070"/>
          <w:sz w:val="20"/>
          <w:szCs w:val="22"/>
        </w:rPr>
        <w:t>批注 [#7 阴离子静电势影响]</w:t>
      </w:r>
      <w:r>
        <w:rPr>
          <w:rFonts w:ascii="Times New Roman" w:hAnsi="Times New Roman" w:eastAsia="楷体" w:cs="Times New Roman" w:csTheme="minorBidi"/>
          <w:color w:val="707070"/>
          <w:sz w:val="20"/>
          <w:szCs w:val="22"/>
        </w:rPr>
        <w:t>: 已作为第 5 条局限单独列出。Bader 分析确认 LDH slab 的总净电荷在数值精度范围内为零，但缺失阴离子补偿可能导致静电势整体偏移。</w:t>
      </w:r>
    </w:p>
    <w:p w14:paraId="2F01661C">
      <w:pPr>
        <w:spacing w:before="60" w:after="60" w:line="360" w:lineRule="auto"/>
      </w:pPr>
      <w:r>
        <w:rPr>
          <w:rFonts w:ascii="Times New Roman" w:hAnsi="Times New Roman" w:eastAsia="宋体" w:cs="Times New Roman" w:csTheme="minorBidi"/>
          <w:sz w:val="22"/>
          <w:szCs w:val="22"/>
        </w:rPr>
        <w:t>（6）</w:t>
      </w:r>
      <w:r>
        <w:rPr>
          <w:rFonts w:ascii="Times New Roman" w:hAnsi="Times New Roman" w:eastAsia="宋体" w:cs="Times New Roman" w:csTheme="minorBidi"/>
          <w:b/>
          <w:bCs/>
          <w:sz w:val="22"/>
          <w:szCs w:val="22"/>
        </w:rPr>
        <w:t>分子参考态的零点能修正</w:t>
      </w:r>
      <w:r>
        <w:rPr>
          <w:rFonts w:ascii="Times New Roman" w:hAnsi="Times New Roman" w:eastAsia="宋体" w:cs="Times New Roman" w:csTheme="minorBidi"/>
          <w:sz w:val="22"/>
          <w:szCs w:val="22"/>
        </w:rPr>
        <w:t>分子参考态的零点能修正</w:t>
      </w:r>
      <w:r>
        <w:rPr>
          <w:rFonts w:ascii="Times New Roman" w:hAnsi="Times New Roman" w:eastAsia="宋体" w:cs="Times New Roman" w:csTheme="minorBidi"/>
          <w:sz w:val="22"/>
          <w:szCs w:val="22"/>
        </w:rPr>
        <w:t>：S 掺杂形成能计算中使用分子参考态（½ H₂、½ O₂、⅛ S₈）的 DFT 总能量，未进行零点能（ZPE）修正。ZPE 修正的典型量级约为 0.1-0.3 eV，不改变各构型间形成能的排序。</w:t>
      </w:r>
    </w:p>
    <w:p w14:paraId="7E877193">
      <w:pPr>
        <w:spacing w:before="120" w:after="120" w:line="360" w:lineRule="auto"/>
        <w:ind w:left="567"/>
      </w:pPr>
      <w:r>
        <w:rPr>
          <w:rFonts w:ascii="Times New Roman" w:hAnsi="Times New Roman" w:eastAsia="楷体" w:cs="Times New Roman" w:csTheme="minorBidi"/>
          <w:b/>
          <w:bCs/>
          <w:color w:val="707070"/>
          <w:sz w:val="20"/>
          <w:szCs w:val="22"/>
        </w:rPr>
        <w:t>批注 [#10 ZPE修正]</w:t>
      </w:r>
      <w:r>
        <w:rPr>
          <w:rFonts w:ascii="Times New Roman" w:hAnsi="Times New Roman" w:eastAsia="楷体" w:cs="Times New Roman" w:csTheme="minorBidi"/>
          <w:color w:val="707070"/>
          <w:sz w:val="20"/>
          <w:szCs w:val="22"/>
        </w:rPr>
        <w:t>批注 [#10 ZPE修正]</w:t>
      </w:r>
      <w:r>
        <w:rPr>
          <w:rFonts w:ascii="Times New Roman" w:hAnsi="Times New Roman" w:eastAsia="楷体" w:cs="Times New Roman" w:csTheme="minorBidi"/>
          <w:color w:val="707070"/>
          <w:sz w:val="20"/>
          <w:szCs w:val="22"/>
        </w:rPr>
        <w:t>: 已加为第 6 条局限。此项影响较小，但审稿人若做微热量学分析可能会注意到。</w:t>
      </w:r>
    </w:p>
    <w:p w14:paraId="0BD81289">
      <w:pPr>
        <w:spacing w:before="60" w:after="60" w:line="360" w:lineRule="auto"/>
      </w:pPr>
      <w:r>
        <w:rPr>
          <w:rFonts w:ascii="Times New Roman" w:hAnsi="Times New Roman" w:eastAsia="宋体" w:cs="Times New Roman" w:csTheme="minorBidi"/>
          <w:sz w:val="22"/>
          <w:szCs w:val="22"/>
        </w:rPr>
        <w:t>（7）</w:t>
      </w:r>
      <w:r>
        <w:rPr>
          <w:rFonts w:ascii="Times New Roman" w:hAnsi="Times New Roman" w:eastAsia="宋体" w:cs="Times New Roman" w:csTheme="minorBidi"/>
          <w:b/>
          <w:bCs/>
          <w:sz w:val="22"/>
          <w:szCs w:val="22"/>
        </w:rPr>
        <w:t>界面电荷重分布分析的泊松方程法</w:t>
      </w:r>
      <w:r>
        <w:rPr>
          <w:rFonts w:ascii="Times New Roman" w:hAnsi="Times New Roman" w:eastAsia="宋体" w:cs="Times New Roman" w:csTheme="minorBidi"/>
          <w:sz w:val="22"/>
          <w:szCs w:val="22"/>
        </w:rPr>
        <w:t>界面电荷重分布分析的泊松方程法</w:t>
      </w:r>
      <w:r>
        <w:rPr>
          <w:rFonts w:ascii="Times New Roman" w:hAnsi="Times New Roman" w:eastAsia="宋体" w:cs="Times New Roman" w:csTheme="minorBidi"/>
          <w:sz w:val="22"/>
          <w:szCs w:val="22"/>
        </w:rPr>
        <w:t>：本文采用 LOCPOT 静电势差分法反推界面电荷重分布，而非直接对 3D CHGCAR 进行算术减。该方法避免了芯电子尖峰伪影，但存在两方面局限：首先，差分静电势的二次微分对噪声敏感，我们通过高斯平滑（σ = 2 格点）压制数值噪声，这可能导致界面偶极区域的空间分布被略微展宽；其次，泊松反推法的物理假设是静电势的变化完全由电荷重分布引起，忽略了交换关联势对静电势的微小贡献，这一假设在常规界面分析的精度范围内是可接受的。</w:t>
      </w:r>
    </w:p>
    <w:sectPr>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2026-07-01T16:09:25.545Z</dcterms:modified>
  <cp:category/>
</cp:coreProperties>
</file>