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hostname OFF-L3-1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vlan 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 ACCOUNTING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vlan 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SHIPPING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vlan 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 SALES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vlan 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 LOGISTICS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vlan 99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 NATIVE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ip domain-name ipege.local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crypto key generate rsa modulus 2048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 ssh version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username ansible privilege 15 secret ansibleipege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username manage privilege 15 secret management9654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vlan 99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ip address 10.20.99.5 255.255.255.240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spanning-tree mode rapid-pvst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spanning-tree vlan 20-21 priority 24576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spanning-tree vlan 22-23,99 priority 28672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!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interface range GigabitEthernet1/0/1-5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switchport trunk native vlan 99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switchport trunk allowed vlan 20-23,99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switchport nonegotiate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interface range GigabitEthernet1/0/6-36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interface range TenGigabitEthernet1/0/37-46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interface TenGigabitEthernet1/0/47-48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switchport trunk native vlan 99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switchport trunk allowed vlan 20-23,99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switchport nonegotiate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channel-group 1 mode desirable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interface range GigabitEthernet1/1/1-4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interface range TenGigabitEthernet1/1/1-8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shutdown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interface range FortyGigabitEthernet1/1/1-2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transport input ssh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login local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