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hostname SW-1st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vlan 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 ACCOUNTING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vlan 21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name SHIPPING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vlan 22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 SALES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vlan 23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name LOGISTICS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vlan 99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name NATIVE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spanning-tree mode rapid-pvst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interface range FastEthernet0/1-6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switchport access vlan 20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switchport mode access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switchport port-security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switchport port-security mac-address sticky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spanning-tree portfast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spanning-tree bpduguard enable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interface range FastEthernet0/7-12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switchport access vlan 21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switchport mode access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switchport port-security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switchport port-security mac-address sticky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spanning-tree portfast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spanning-tree bpduguard enable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interface range FastEthernet0/13-18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switchport access vlan 22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switchport mode access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switchport port-security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switchport port-security mac-address sticky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spanning-tree portfast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spanning-tree bpduguard enable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interface range FastEthernet0/19-24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switchport access vlan 23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switchport mode access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switchport port-security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switchport port-security mac-address sticky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spanning-tree portfast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spanning-tree bpduguard enable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interface range GigabitEthernet0/1-2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switchport trunk native vlan 99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switchport trunk allowed vlan 20-23,99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switchport mode trunk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switchport nonegotiate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