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7A" w:rsidRPr="00ED2CDA" w:rsidRDefault="00E8727A" w:rsidP="00E8727A">
      <w:pPr>
        <w:jc w:val="center"/>
        <w:rPr>
          <w:rFonts w:ascii="Georgia" w:hAnsi="Georgia"/>
          <w:b/>
          <w:color w:val="00B050"/>
          <w:sz w:val="40"/>
        </w:rPr>
      </w:pPr>
      <w:r w:rsidRPr="00ED2CDA">
        <w:rPr>
          <w:rFonts w:ascii="Georgia" w:hAnsi="Georgia"/>
          <w:b/>
          <w:color w:val="00B050"/>
          <w:sz w:val="40"/>
        </w:rPr>
        <w:t>Терміни</w:t>
      </w:r>
    </w:p>
    <w:p w:rsidR="00E8727A" w:rsidRPr="00ED2CDA" w:rsidRDefault="00E8727A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color w:val="00B050"/>
          <w:sz w:val="28"/>
        </w:rPr>
      </w:pPr>
      <w:r w:rsidRPr="007756E6">
        <w:rPr>
          <w:rFonts w:ascii="Georgia" w:hAnsi="Georgia"/>
          <w:color w:val="00B050"/>
          <w:sz w:val="32"/>
        </w:rPr>
        <w:t xml:space="preserve">Небезпечний виробничий чинник </w:t>
      </w:r>
      <w:r w:rsidRPr="00ED2CDA">
        <w:rPr>
          <w:rFonts w:ascii="Georgia" w:hAnsi="Georgia"/>
          <w:color w:val="00B050"/>
          <w:sz w:val="28"/>
        </w:rPr>
        <w:t xml:space="preserve">– </w:t>
      </w:r>
      <w:r w:rsidRPr="00ED2CDA">
        <w:rPr>
          <w:rFonts w:ascii="Georgia" w:hAnsi="Georgia"/>
          <w:sz w:val="28"/>
        </w:rPr>
        <w:t>це чинник, вплив якого на працівника в</w:t>
      </w:r>
      <w:r w:rsidRPr="00ED2CDA">
        <w:rPr>
          <w:rFonts w:ascii="Georgia" w:hAnsi="Georgia"/>
          <w:sz w:val="28"/>
        </w:rPr>
        <w:t xml:space="preserve"> </w:t>
      </w:r>
      <w:r w:rsidRPr="00ED2CDA">
        <w:rPr>
          <w:rFonts w:ascii="Georgia" w:hAnsi="Georgia"/>
          <w:sz w:val="28"/>
        </w:rPr>
        <w:t>певних умовах призводить до травм, гострого отруєння або іншого раптового</w:t>
      </w:r>
      <w:r w:rsidRPr="00ED2CDA">
        <w:rPr>
          <w:rFonts w:ascii="Georgia" w:hAnsi="Georgia"/>
          <w:sz w:val="28"/>
        </w:rPr>
        <w:t xml:space="preserve"> </w:t>
      </w:r>
      <w:r w:rsidRPr="00ED2CDA">
        <w:rPr>
          <w:rFonts w:ascii="Georgia" w:hAnsi="Georgia"/>
          <w:sz w:val="28"/>
        </w:rPr>
        <w:t>різкого погіршення здоров'я або до смерті.</w:t>
      </w:r>
    </w:p>
    <w:p w:rsidR="005D3A67" w:rsidRPr="00ED2CDA" w:rsidRDefault="005D3A67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7756E6">
        <w:rPr>
          <w:rFonts w:ascii="Georgia" w:hAnsi="Georgia"/>
          <w:color w:val="00B050"/>
          <w:sz w:val="32"/>
        </w:rPr>
        <w:t xml:space="preserve">Нещасний </w:t>
      </w:r>
      <w:r w:rsidRPr="007756E6">
        <w:rPr>
          <w:rFonts w:ascii="Georgia" w:hAnsi="Georgia"/>
          <w:color w:val="00B050"/>
          <w:sz w:val="32"/>
        </w:rPr>
        <w:t>випадок</w:t>
      </w:r>
      <w:r w:rsidRPr="007756E6">
        <w:rPr>
          <w:rFonts w:ascii="Georgia" w:hAnsi="Georgia"/>
          <w:color w:val="00B050"/>
          <w:sz w:val="32"/>
          <w:lang w:val="ru-RU"/>
        </w:rPr>
        <w:t xml:space="preserve"> </w:t>
      </w:r>
      <w:r w:rsidRPr="00ED2CDA">
        <w:rPr>
          <w:rFonts w:ascii="Georgia" w:hAnsi="Georgia"/>
          <w:color w:val="00B050"/>
          <w:sz w:val="28"/>
          <w:lang w:val="ru-RU"/>
        </w:rPr>
        <w:t>-</w:t>
      </w:r>
      <w:r w:rsidRPr="00ED2CDA">
        <w:rPr>
          <w:rFonts w:ascii="Georgia" w:hAnsi="Georgia"/>
          <w:sz w:val="28"/>
        </w:rPr>
        <w:t xml:space="preserve"> ненавмисна дія</w:t>
      </w:r>
      <w:r w:rsidRPr="00ED2CDA">
        <w:rPr>
          <w:rFonts w:ascii="Georgia" w:hAnsi="Georgia"/>
          <w:sz w:val="28"/>
        </w:rPr>
        <w:t xml:space="preserve"> небезпечного чинника</w:t>
      </w:r>
      <w:r w:rsidRPr="00ED2CDA">
        <w:rPr>
          <w:rFonts w:ascii="Georgia" w:hAnsi="Georgia"/>
          <w:sz w:val="28"/>
          <w:lang w:val="ru-RU"/>
        </w:rPr>
        <w:t>.</w:t>
      </w:r>
    </w:p>
    <w:p w:rsidR="005D3A67" w:rsidRPr="00ED2CDA" w:rsidRDefault="005D3A67" w:rsidP="00181DB1">
      <w:pPr>
        <w:jc w:val="both"/>
        <w:rPr>
          <w:rFonts w:ascii="Georgia" w:hAnsi="Georgia"/>
          <w:sz w:val="28"/>
        </w:rPr>
      </w:pPr>
      <w:r w:rsidRPr="00ED2CDA">
        <w:rPr>
          <w:rFonts w:ascii="Georgia" w:hAnsi="Georgia"/>
          <w:sz w:val="28"/>
        </w:rPr>
        <w:tab/>
      </w:r>
      <w:r w:rsidRPr="00ED2CDA">
        <w:rPr>
          <w:rFonts w:ascii="Georgia" w:hAnsi="Georgia"/>
          <w:sz w:val="28"/>
        </w:rPr>
        <w:t>Нещасні випадки поділяють:</w:t>
      </w:r>
    </w:p>
    <w:p w:rsidR="005D3A67" w:rsidRPr="00ED2CDA" w:rsidRDefault="005D3A67" w:rsidP="00181DB1">
      <w:pPr>
        <w:pStyle w:val="a3"/>
        <w:numPr>
          <w:ilvl w:val="0"/>
          <w:numId w:val="3"/>
        </w:numPr>
        <w:jc w:val="both"/>
        <w:rPr>
          <w:rFonts w:ascii="Georgia" w:hAnsi="Georgia"/>
          <w:sz w:val="28"/>
        </w:rPr>
      </w:pPr>
      <w:r w:rsidRPr="00ED2CDA">
        <w:rPr>
          <w:rFonts w:ascii="Georgia" w:hAnsi="Georgia"/>
          <w:i/>
          <w:sz w:val="28"/>
        </w:rPr>
        <w:t>за кількістю потерпілих</w:t>
      </w:r>
      <w:r w:rsidRPr="00ED2CDA">
        <w:rPr>
          <w:rFonts w:ascii="Georgia" w:hAnsi="Georgia"/>
          <w:sz w:val="28"/>
        </w:rPr>
        <w:t xml:space="preserve"> на такі, </w:t>
      </w:r>
      <w:r w:rsidRPr="00ED2CDA">
        <w:rPr>
          <w:rFonts w:ascii="Georgia" w:hAnsi="Georgia"/>
          <w:sz w:val="28"/>
        </w:rPr>
        <w:t>що сталися з одним працівником,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</w:rPr>
        <w:t>і групові, що сталися одночасно</w:t>
      </w:r>
      <w:r w:rsidRPr="00ED2CDA">
        <w:rPr>
          <w:rFonts w:ascii="Georgia" w:hAnsi="Georgia"/>
          <w:sz w:val="28"/>
        </w:rPr>
        <w:t xml:space="preserve"> з двома і більше працівниками;</w:t>
      </w:r>
    </w:p>
    <w:p w:rsidR="005D3A67" w:rsidRPr="00ED2CDA" w:rsidRDefault="005D3A67" w:rsidP="00181DB1">
      <w:pPr>
        <w:pStyle w:val="a3"/>
        <w:numPr>
          <w:ilvl w:val="0"/>
          <w:numId w:val="3"/>
        </w:numPr>
        <w:jc w:val="both"/>
        <w:rPr>
          <w:rFonts w:ascii="Georgia" w:hAnsi="Georgia"/>
          <w:sz w:val="28"/>
        </w:rPr>
      </w:pPr>
      <w:r w:rsidRPr="00ED2CDA">
        <w:rPr>
          <w:rFonts w:ascii="Georgia" w:hAnsi="Georgia"/>
          <w:i/>
          <w:sz w:val="28"/>
        </w:rPr>
        <w:t>за ступенем тяжкості ушкодження здоров'я</w:t>
      </w:r>
      <w:r w:rsidRPr="00ED2CDA">
        <w:rPr>
          <w:rFonts w:ascii="Georgia" w:hAnsi="Georgia"/>
          <w:sz w:val="28"/>
        </w:rPr>
        <w:t xml:space="preserve"> – б</w:t>
      </w:r>
      <w:r w:rsidRPr="00ED2CDA">
        <w:rPr>
          <w:rFonts w:ascii="Georgia" w:hAnsi="Georgia"/>
          <w:sz w:val="28"/>
        </w:rPr>
        <w:t>ез втрати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</w:rPr>
        <w:t>працездатності, з втратою працездатності на</w:t>
      </w:r>
      <w:r w:rsidRPr="00ED2CDA">
        <w:rPr>
          <w:rFonts w:ascii="Georgia" w:hAnsi="Georgia"/>
          <w:sz w:val="28"/>
        </w:rPr>
        <w:t xml:space="preserve"> один робочий день і більше, із</w:t>
      </w:r>
      <w:r w:rsidRPr="00ED2CDA">
        <w:rPr>
          <w:rFonts w:ascii="Georgia" w:hAnsi="Georgia"/>
          <w:sz w:val="28"/>
          <w:lang w:val="ru-RU"/>
        </w:rPr>
        <w:t xml:space="preserve"> с</w:t>
      </w:r>
      <w:r w:rsidRPr="00ED2CDA">
        <w:rPr>
          <w:rFonts w:ascii="Georgia" w:hAnsi="Georgia"/>
          <w:sz w:val="28"/>
        </w:rPr>
        <w:t xml:space="preserve">тійкою втратою </w:t>
      </w:r>
      <w:r w:rsidRPr="00ED2CDA">
        <w:rPr>
          <w:rFonts w:ascii="Georgia" w:hAnsi="Georgia"/>
          <w:sz w:val="28"/>
        </w:rPr>
        <w:t>працездатності (калі</w:t>
      </w:r>
      <w:r w:rsidRPr="00ED2CDA">
        <w:rPr>
          <w:rFonts w:ascii="Georgia" w:hAnsi="Georgia"/>
          <w:sz w:val="28"/>
        </w:rPr>
        <w:t>цтво) та смертельні (летальні);</w:t>
      </w:r>
    </w:p>
    <w:p w:rsidR="005D3A67" w:rsidRPr="00ED2CDA" w:rsidRDefault="005D3A67" w:rsidP="00181DB1">
      <w:pPr>
        <w:pStyle w:val="a3"/>
        <w:numPr>
          <w:ilvl w:val="0"/>
          <w:numId w:val="3"/>
        </w:numPr>
        <w:jc w:val="both"/>
        <w:rPr>
          <w:rFonts w:ascii="Georgia" w:hAnsi="Georgia"/>
          <w:sz w:val="28"/>
        </w:rPr>
      </w:pPr>
      <w:r w:rsidRPr="00ED2CDA">
        <w:rPr>
          <w:rFonts w:ascii="Georgia" w:hAnsi="Georgia"/>
          <w:i/>
          <w:sz w:val="28"/>
        </w:rPr>
        <w:t>за зв'язком з виробництвом</w:t>
      </w:r>
      <w:r w:rsidRPr="00ED2CDA">
        <w:rPr>
          <w:rFonts w:ascii="Georgia" w:hAnsi="Georgia"/>
          <w:sz w:val="28"/>
        </w:rPr>
        <w:t xml:space="preserve"> – на такі</w:t>
      </w:r>
      <w:r w:rsidRPr="00ED2CDA">
        <w:rPr>
          <w:rFonts w:ascii="Georgia" w:hAnsi="Georgia"/>
          <w:sz w:val="28"/>
        </w:rPr>
        <w:t>, що пов'язані і не пов'язані з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</w:rPr>
        <w:t>виробництвом.</w:t>
      </w:r>
      <w:r w:rsidR="00E8727A" w:rsidRPr="00ED2CDA">
        <w:rPr>
          <w:rFonts w:ascii="Georgia" w:hAnsi="Georgia"/>
          <w:sz w:val="28"/>
        </w:rPr>
        <w:tab/>
      </w:r>
    </w:p>
    <w:p w:rsidR="005D3A67" w:rsidRPr="00ED2CDA" w:rsidRDefault="005D3A67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7756E6">
        <w:rPr>
          <w:rFonts w:ascii="Georgia" w:hAnsi="Georgia"/>
          <w:color w:val="00B050"/>
          <w:sz w:val="32"/>
          <w:lang w:val="ru-RU"/>
        </w:rPr>
        <w:t xml:space="preserve">Травматизм </w:t>
      </w:r>
      <w:r w:rsidRPr="00ED2CDA">
        <w:rPr>
          <w:rFonts w:ascii="Georgia" w:hAnsi="Georgia"/>
          <w:sz w:val="28"/>
          <w:lang w:val="ru-RU"/>
        </w:rPr>
        <w:t>- сукупність нещасних випадків називають.</w:t>
      </w:r>
    </w:p>
    <w:p w:rsidR="005D3A67" w:rsidRPr="00ED2CDA" w:rsidRDefault="005D3A67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7756E6">
        <w:rPr>
          <w:rFonts w:ascii="Georgia" w:hAnsi="Georgia"/>
          <w:color w:val="00B050"/>
          <w:sz w:val="32"/>
          <w:lang w:val="ru-RU"/>
        </w:rPr>
        <w:t xml:space="preserve">Шкідливий виробничий чинник </w:t>
      </w:r>
      <w:r w:rsidRPr="00ED2CDA">
        <w:rPr>
          <w:rFonts w:ascii="Georgia" w:hAnsi="Georgia"/>
          <w:sz w:val="28"/>
          <w:lang w:val="ru-RU"/>
        </w:rPr>
        <w:t>– це чинник, вплив якого за певних умов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може призвести до захворювання, зниження працездатності і (або) негативної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дії на здоров'я нащадків.</w:t>
      </w:r>
    </w:p>
    <w:p w:rsidR="005D3A67" w:rsidRPr="00ED2CDA" w:rsidRDefault="005D3A67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7756E6">
        <w:rPr>
          <w:rFonts w:ascii="Georgia" w:hAnsi="Georgia"/>
          <w:color w:val="00B050"/>
          <w:sz w:val="32"/>
          <w:lang w:val="ru-RU"/>
        </w:rPr>
        <w:t>Професійне захворювання</w:t>
      </w:r>
      <w:r w:rsidRPr="007756E6">
        <w:rPr>
          <w:rFonts w:ascii="Georgia" w:hAnsi="Georgia"/>
          <w:color w:val="00B050"/>
          <w:sz w:val="32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 xml:space="preserve">- </w:t>
      </w:r>
      <w:r w:rsidRPr="00ED2CDA">
        <w:rPr>
          <w:rFonts w:ascii="Georgia" w:hAnsi="Georgia"/>
          <w:sz w:val="28"/>
          <w:lang w:val="ru-RU"/>
        </w:rPr>
        <w:t>те, що виникло під впливом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шкідливих чинників у виробничих умовах.</w:t>
      </w:r>
    </w:p>
    <w:p w:rsidR="00181DB1" w:rsidRPr="00ED2CDA" w:rsidRDefault="00181DB1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7756E6">
        <w:rPr>
          <w:rFonts w:ascii="Georgia" w:hAnsi="Georgia"/>
          <w:color w:val="00B050"/>
          <w:sz w:val="32"/>
          <w:lang w:val="ru-RU"/>
        </w:rPr>
        <w:t>Аварія</w:t>
      </w:r>
      <w:r w:rsidRPr="007756E6">
        <w:rPr>
          <w:rFonts w:ascii="Georgia" w:hAnsi="Georgia"/>
          <w:sz w:val="32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– це раптове порушення цілісності об’єкта або зміна компонентів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виробничого середовища, що спричиняє руйнування чи пошкодження об’єктів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виробничого призначення, будівель, споруд, транспортних засобів, порушує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нормальний хід технологічного процесу та стан навколишнього середовища,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утворює загрозу здоров'ю та життю людей і спричиняє значні матеріальні</w:t>
      </w:r>
      <w:r w:rsidRPr="00ED2CDA">
        <w:rPr>
          <w:rFonts w:ascii="Georgia" w:hAnsi="Georgia"/>
          <w:sz w:val="28"/>
          <w:lang w:val="ru-RU"/>
        </w:rPr>
        <w:t xml:space="preserve"> </w:t>
      </w:r>
      <w:r w:rsidRPr="00ED2CDA">
        <w:rPr>
          <w:rFonts w:ascii="Georgia" w:hAnsi="Georgia"/>
          <w:sz w:val="28"/>
          <w:lang w:val="ru-RU"/>
        </w:rPr>
        <w:t>збитки.</w:t>
      </w:r>
    </w:p>
    <w:p w:rsidR="00181DB1" w:rsidRPr="00ED2CDA" w:rsidRDefault="00181DB1" w:rsidP="00181DB1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7756E6">
        <w:rPr>
          <w:rFonts w:ascii="Georgia" w:hAnsi="Georgia"/>
          <w:color w:val="00B050"/>
          <w:sz w:val="32"/>
          <w:lang w:val="ru-RU"/>
        </w:rPr>
        <w:t xml:space="preserve">Соціальне партнерство </w:t>
      </w:r>
      <w:r w:rsidRPr="00ED2CDA">
        <w:rPr>
          <w:rFonts w:ascii="Georgia" w:hAnsi="Georgia"/>
          <w:sz w:val="28"/>
          <w:lang w:val="ru-RU"/>
        </w:rPr>
        <w:t xml:space="preserve">— </w:t>
      </w:r>
    </w:p>
    <w:p w:rsidR="00181DB1" w:rsidRPr="00ED2CDA" w:rsidRDefault="00181DB1" w:rsidP="00181DB1">
      <w:pPr>
        <w:pStyle w:val="a3"/>
        <w:jc w:val="both"/>
        <w:rPr>
          <w:rFonts w:ascii="Georgia" w:hAnsi="Georgia"/>
          <w:sz w:val="28"/>
          <w:lang w:val="ru-RU"/>
        </w:rPr>
      </w:pPr>
      <w:r w:rsidRPr="00ED2CDA">
        <w:rPr>
          <w:rFonts w:ascii="Georgia" w:hAnsi="Georgia"/>
          <w:sz w:val="28"/>
          <w:lang w:val="en-US"/>
        </w:rPr>
        <w:t xml:space="preserve">a) </w:t>
      </w:r>
      <w:r w:rsidRPr="00ED2CDA">
        <w:rPr>
          <w:rFonts w:ascii="Georgia" w:hAnsi="Georgia"/>
          <w:sz w:val="28"/>
          <w:lang w:val="ru-RU"/>
        </w:rPr>
        <w:t>це механізм цивілізованого вирішення</w:t>
      </w:r>
      <w:r w:rsidRPr="00ED2CDA">
        <w:rPr>
          <w:rFonts w:ascii="Georgia" w:hAnsi="Georgia"/>
          <w:sz w:val="28"/>
          <w:lang w:val="en-US"/>
        </w:rPr>
        <w:t xml:space="preserve"> </w:t>
      </w:r>
      <w:r w:rsidRPr="00ED2CDA">
        <w:rPr>
          <w:rFonts w:ascii="Georgia" w:hAnsi="Georgia"/>
          <w:sz w:val="28"/>
          <w:lang w:val="ru-RU"/>
        </w:rPr>
        <w:t>соціально-трудових конфліктів та усунення суперечностей між інтересами</w:t>
      </w:r>
      <w:r w:rsidRPr="00ED2CDA">
        <w:rPr>
          <w:rFonts w:ascii="Georgia" w:hAnsi="Georgia"/>
          <w:sz w:val="28"/>
          <w:lang w:val="en-US"/>
        </w:rPr>
        <w:t xml:space="preserve"> </w:t>
      </w:r>
      <w:r w:rsidRPr="00ED2CDA">
        <w:rPr>
          <w:rFonts w:ascii="Georgia" w:hAnsi="Georgia"/>
          <w:sz w:val="28"/>
          <w:lang w:val="ru-RU"/>
        </w:rPr>
        <w:t>робітників і власників, суспільний договір між найманими працівниками і</w:t>
      </w:r>
      <w:r w:rsidRPr="00ED2CDA">
        <w:rPr>
          <w:rFonts w:ascii="Georgia" w:hAnsi="Georgia"/>
          <w:sz w:val="28"/>
          <w:lang w:val="en-US"/>
        </w:rPr>
        <w:t xml:space="preserve"> </w:t>
      </w:r>
      <w:r w:rsidRPr="00ED2CDA">
        <w:rPr>
          <w:rFonts w:ascii="Georgia" w:hAnsi="Georgia"/>
          <w:sz w:val="28"/>
          <w:lang w:val="ru-RU"/>
        </w:rPr>
        <w:t>роботодавцями на основі реалізації прав і інтересів сторін.</w:t>
      </w:r>
    </w:p>
    <w:p w:rsidR="00ED2CDA" w:rsidRPr="00ED2CDA" w:rsidRDefault="00181DB1" w:rsidP="00ED2CDA">
      <w:pPr>
        <w:pStyle w:val="a3"/>
        <w:jc w:val="both"/>
        <w:rPr>
          <w:rFonts w:ascii="Georgia" w:hAnsi="Georgia"/>
          <w:sz w:val="28"/>
          <w:lang w:val="ru-RU"/>
        </w:rPr>
      </w:pPr>
      <w:r w:rsidRPr="00ED2CDA">
        <w:rPr>
          <w:rFonts w:ascii="Georgia" w:hAnsi="Georgia"/>
          <w:sz w:val="28"/>
          <w:lang w:val="ru-RU"/>
        </w:rPr>
        <w:t xml:space="preserve">б) це ідеологія співробітництва </w:t>
      </w:r>
      <w:r w:rsidRPr="00ED2CDA">
        <w:rPr>
          <w:rFonts w:ascii="Georgia" w:hAnsi="Georgia"/>
          <w:sz w:val="28"/>
          <w:lang w:val="ru-RU"/>
        </w:rPr>
        <w:t>найманих працівників з власниками капіт</w:t>
      </w:r>
      <w:r w:rsidRPr="00ED2CDA">
        <w:rPr>
          <w:rFonts w:ascii="Georgia" w:hAnsi="Georgia"/>
          <w:sz w:val="28"/>
          <w:lang w:val="ru-RU"/>
        </w:rPr>
        <w:t xml:space="preserve">алу, коли перші не посягають на </w:t>
      </w:r>
      <w:r w:rsidRPr="00ED2CDA">
        <w:rPr>
          <w:rFonts w:ascii="Georgia" w:hAnsi="Georgia"/>
          <w:sz w:val="28"/>
          <w:lang w:val="ru-RU"/>
        </w:rPr>
        <w:t>основи існуючого ладу, а намагаються шляхом</w:t>
      </w:r>
      <w:r w:rsidRPr="00ED2CDA">
        <w:rPr>
          <w:rFonts w:ascii="Georgia" w:hAnsi="Georgia"/>
          <w:sz w:val="28"/>
          <w:lang w:val="ru-RU"/>
        </w:rPr>
        <w:t xml:space="preserve"> реформ і переговорів поліпшити </w:t>
      </w:r>
      <w:r w:rsidRPr="00ED2CDA">
        <w:rPr>
          <w:rFonts w:ascii="Georgia" w:hAnsi="Georgia"/>
          <w:sz w:val="28"/>
          <w:lang w:val="ru-RU"/>
        </w:rPr>
        <w:t>своє станови</w:t>
      </w:r>
      <w:r w:rsidR="00ED2CDA" w:rsidRPr="00ED2CDA">
        <w:rPr>
          <w:rFonts w:ascii="Georgia" w:hAnsi="Georgia"/>
          <w:sz w:val="28"/>
          <w:lang w:val="ru-RU"/>
        </w:rPr>
        <w:t>ще.</w:t>
      </w:r>
    </w:p>
    <w:p w:rsidR="00ED2CDA" w:rsidRPr="00ED2CDA" w:rsidRDefault="00ED2CDA" w:rsidP="00ED2CDA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  <w:lang w:val="ru-RU"/>
        </w:rPr>
      </w:pPr>
      <w:r w:rsidRPr="00ED2CDA">
        <w:rPr>
          <w:rFonts w:ascii="Georgia" w:hAnsi="Georgia"/>
          <w:color w:val="00B050"/>
          <w:sz w:val="32"/>
          <w:szCs w:val="28"/>
        </w:rPr>
        <w:t xml:space="preserve">Законодавство України про охорону праці складається з </w:t>
      </w:r>
      <w:r w:rsidRPr="00ED2CDA">
        <w:rPr>
          <w:rFonts w:ascii="Georgia" w:hAnsi="Georgia"/>
          <w:color w:val="000000"/>
          <w:sz w:val="28"/>
          <w:szCs w:val="28"/>
        </w:rPr>
        <w:t>конституційних гарантій прав громадян у цій сфері, спеціального Закону України «Про охорону праці», Кодексу законів про працю України, ряду інших законів, пов’язаних з охороною життя й здоров’я громадян у процесі їх трудової діяльності.</w:t>
      </w:r>
    </w:p>
    <w:p w:rsidR="00ED2CDA" w:rsidRPr="00ED2CDA" w:rsidRDefault="00ED2CDA" w:rsidP="00ED2CDA">
      <w:pPr>
        <w:pStyle w:val="a4"/>
        <w:spacing w:before="43" w:beforeAutospacing="0" w:after="0" w:afterAutospacing="0"/>
        <w:ind w:left="567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У цьому Законі визначені основні принципи державної політики в галузі охорони праці, серед яких укажемо: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пріоритет життя й здоров’я працівників стосовно результатів виробничої діяльності підприємства;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lastRenderedPageBreak/>
        <w:t xml:space="preserve">повна відповідальність власника за створення безпечних і нешкідливих умов праці;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0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соціальний захист працівників, які постраждали від нещасних випадків на виробництві й професійних захворювань;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встановлення єдиних нормативів з охорони праці для всіх форм власності й видів їх діяльності;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8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здійснення навчання населення, професійної підготовки й підвищення кваліфікації працівників з питань охорони праці;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jc w:val="both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забезпечення координації діяльності державних органів, установ, організацій і об’єднань громадян, які вирішують різні проблеми охорони здоров’я, гігієни й безпеки праці;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використання економічних методів керування охороною праці й т.п. Закон визначає: гарантії прав громадян на охорону праці при укладанні трудового договору, під час роботи, права на пільги й компенсації за важкі й шкідливі умови праці;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3" w:beforeAutospacing="0" w:after="0" w:afterAutospacing="0"/>
        <w:ind w:left="1068" w:right="-36"/>
        <w:jc w:val="both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порядок відшкодування власником шкоди працівникам, у тому числі й моральної, у випадку нанесення шкоди їх здоров’ю, пов’язаного з виконанням трудових обов’язків; </w:t>
      </w:r>
    </w:p>
    <w:p w:rsidR="00ED2CDA" w:rsidRPr="00ED2CDA" w:rsidRDefault="00ED2CDA" w:rsidP="00ED2CDA">
      <w:pPr>
        <w:pStyle w:val="a4"/>
        <w:numPr>
          <w:ilvl w:val="0"/>
          <w:numId w:val="5"/>
        </w:numPr>
        <w:spacing w:before="48" w:beforeAutospacing="0" w:after="0" w:afterAutospacing="0"/>
        <w:ind w:left="1068" w:right="-36"/>
        <w:rPr>
          <w:rFonts w:ascii="Georgia" w:hAnsi="Georgia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особливості застосування праці жінок, неповнолітніх і інвалідів. </w:t>
      </w:r>
    </w:p>
    <w:p w:rsidR="00ED2CDA" w:rsidRPr="00ED2CDA" w:rsidRDefault="00ED2CDA" w:rsidP="00ED2CDA">
      <w:pPr>
        <w:pStyle w:val="a3"/>
        <w:numPr>
          <w:ilvl w:val="0"/>
          <w:numId w:val="2"/>
        </w:numPr>
        <w:spacing w:before="240"/>
        <w:jc w:val="both"/>
        <w:rPr>
          <w:rFonts w:ascii="Georgia" w:hAnsi="Georgia"/>
          <w:color w:val="000000"/>
          <w:sz w:val="28"/>
          <w:szCs w:val="28"/>
        </w:rPr>
      </w:pPr>
      <w:r w:rsidRPr="00ED2CDA">
        <w:rPr>
          <w:rFonts w:ascii="Georgia" w:hAnsi="Georgia"/>
          <w:color w:val="00B050"/>
          <w:sz w:val="32"/>
          <w:szCs w:val="28"/>
        </w:rPr>
        <w:t>СУОП(сист</w:t>
      </w:r>
      <w:r w:rsidRPr="00ED2CDA">
        <w:rPr>
          <w:rFonts w:ascii="Georgia" w:hAnsi="Georgia"/>
          <w:color w:val="00B050"/>
          <w:sz w:val="32"/>
          <w:szCs w:val="28"/>
        </w:rPr>
        <w:t>ема управління охороною праці)</w:t>
      </w:r>
      <w:r w:rsidRPr="00ED2CDA">
        <w:rPr>
          <w:rFonts w:ascii="Georgia" w:hAnsi="Georgia"/>
          <w:b/>
          <w:i/>
          <w:color w:val="00B050"/>
          <w:sz w:val="32"/>
          <w:szCs w:val="28"/>
          <w:lang w:val="ru-RU"/>
        </w:rPr>
        <w:t xml:space="preserve"> </w:t>
      </w:r>
      <w:r w:rsidRPr="00ED2CDA">
        <w:rPr>
          <w:rFonts w:ascii="Georgia" w:hAnsi="Georgia"/>
          <w:b/>
          <w:i/>
          <w:color w:val="000000"/>
          <w:sz w:val="32"/>
          <w:szCs w:val="28"/>
        </w:rPr>
        <w:t xml:space="preserve">- </w:t>
      </w:r>
      <w:r w:rsidRPr="00ED2CDA">
        <w:rPr>
          <w:rFonts w:ascii="Georgia" w:hAnsi="Georgia"/>
          <w:color w:val="000000"/>
          <w:sz w:val="28"/>
          <w:szCs w:val="28"/>
        </w:rPr>
        <w:t>сукупність об’єкта управління (машини, механізму, технологічного процесу, підприємства, галузі промисловості тощо) і елементів управління станом цього об’єкта, що взаємодіють між собою для досягнення певної мети, є складовою частиною загальної системи управління у сфері трудової діяльності громадян, а в більш широкому плані – системи управління безпекою їх життєдіяльності.</w:t>
      </w:r>
    </w:p>
    <w:p w:rsidR="00ED2CDA" w:rsidRPr="00ED2CDA" w:rsidRDefault="00ED2CDA" w:rsidP="00ED2CDA">
      <w:pPr>
        <w:spacing w:before="240"/>
        <w:jc w:val="both"/>
        <w:rPr>
          <w:rFonts w:ascii="Georgia" w:hAnsi="Georgia"/>
          <w:color w:val="000000"/>
          <w:sz w:val="28"/>
          <w:szCs w:val="28"/>
        </w:rPr>
      </w:pPr>
      <w:r w:rsidRPr="00ED2CDA">
        <w:rPr>
          <w:rFonts w:ascii="Georgia" w:hAnsi="Georgia"/>
          <w:color w:val="000000"/>
          <w:sz w:val="28"/>
          <w:szCs w:val="28"/>
        </w:rPr>
        <w:tab/>
      </w:r>
      <w:r w:rsidRPr="00ED2CDA">
        <w:rPr>
          <w:rFonts w:ascii="Georgia" w:hAnsi="Georgia"/>
          <w:color w:val="000000"/>
          <w:sz w:val="28"/>
          <w:szCs w:val="28"/>
        </w:rPr>
        <w:t>СУОП включає багато ієрархічних р</w:t>
      </w:r>
      <w:r>
        <w:rPr>
          <w:rFonts w:ascii="Georgia" w:hAnsi="Georgia"/>
          <w:color w:val="000000"/>
          <w:sz w:val="28"/>
          <w:szCs w:val="28"/>
        </w:rPr>
        <w:t xml:space="preserve">івнів. Це державний, галузевий, </w:t>
      </w:r>
      <w:r>
        <w:rPr>
          <w:rFonts w:ascii="Georgia" w:hAnsi="Georgia"/>
          <w:color w:val="000000"/>
          <w:sz w:val="28"/>
          <w:szCs w:val="28"/>
        </w:rPr>
        <w:tab/>
      </w:r>
      <w:r w:rsidRPr="00ED2CDA">
        <w:rPr>
          <w:rFonts w:ascii="Georgia" w:hAnsi="Georgia"/>
          <w:color w:val="000000"/>
          <w:sz w:val="28"/>
          <w:szCs w:val="28"/>
        </w:rPr>
        <w:t xml:space="preserve">регіональний та виробничий рівні. </w:t>
      </w:r>
    </w:p>
    <w:p w:rsidR="00ED2CDA" w:rsidRPr="00ED2CDA" w:rsidRDefault="00ED2CDA" w:rsidP="00ED2CDA">
      <w:pPr>
        <w:pStyle w:val="a3"/>
        <w:numPr>
          <w:ilvl w:val="0"/>
          <w:numId w:val="10"/>
        </w:numPr>
        <w:spacing w:before="240" w:after="200" w:line="276" w:lineRule="auto"/>
        <w:ind w:left="1418"/>
        <w:jc w:val="both"/>
        <w:rPr>
          <w:rFonts w:ascii="Georgia" w:hAnsi="Georgia"/>
          <w:color w:val="000000"/>
          <w:sz w:val="28"/>
          <w:szCs w:val="28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Регіональний рівень має декілька підрівнів відповідно до адміністративно-територіального устрою області: районний, міський, районний у містах, селищний. </w:t>
      </w:r>
    </w:p>
    <w:p w:rsidR="00ED2CDA" w:rsidRPr="00ED2CDA" w:rsidRDefault="00ED2CDA" w:rsidP="00ED2CDA">
      <w:pPr>
        <w:pStyle w:val="a3"/>
        <w:numPr>
          <w:ilvl w:val="0"/>
          <w:numId w:val="10"/>
        </w:numPr>
        <w:spacing w:before="240" w:after="200" w:line="276" w:lineRule="auto"/>
        <w:ind w:left="1418"/>
        <w:jc w:val="both"/>
        <w:rPr>
          <w:rFonts w:ascii="Georgia" w:hAnsi="Georgia"/>
          <w:color w:val="000000"/>
          <w:sz w:val="28"/>
          <w:szCs w:val="28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На галузевому рівні може бути підрівень об’єднання підприємств (корпорацій, холдингів, акціонерних товариств тощо), якому підприємства делегують деякі повноваження в галузі охорони праці. </w:t>
      </w:r>
    </w:p>
    <w:p w:rsidR="00ED2CDA" w:rsidRPr="00ED2CDA" w:rsidRDefault="00ED2CDA" w:rsidP="00ED2CDA">
      <w:pPr>
        <w:pStyle w:val="a3"/>
        <w:numPr>
          <w:ilvl w:val="0"/>
          <w:numId w:val="10"/>
        </w:numPr>
        <w:spacing w:before="240" w:after="200" w:line="276" w:lineRule="auto"/>
        <w:ind w:left="1418"/>
        <w:jc w:val="both"/>
        <w:rPr>
          <w:rFonts w:ascii="Georgia" w:hAnsi="Georgia"/>
          <w:color w:val="000000"/>
          <w:sz w:val="28"/>
          <w:szCs w:val="28"/>
        </w:rPr>
      </w:pPr>
      <w:r w:rsidRPr="00ED2CDA">
        <w:rPr>
          <w:rFonts w:ascii="Georgia" w:hAnsi="Georgia"/>
          <w:color w:val="000000"/>
          <w:sz w:val="28"/>
          <w:szCs w:val="28"/>
        </w:rPr>
        <w:t xml:space="preserve">Виробничий рівень – це рівень підприємств, установ, організацій, закладів (далі підприємств) незалежно від форм власності та видів їх діяльності. Органами управління на регіональному рівні є обласна та районні державні адміністрації, органи місцевого самоврядування відповідно до самоврядних або делегованих повноважень, що надані цим органам Законом України «Про місцеве самоврядування», а також регіональні (територіальні) підрозділи центральних органів виконавчої влади, до повноважень яких належить здійснення управління, нагляду та контролю в галузі охорони праці, пожежної, техногенно-екологічної безпеки та надзвичайних ситуацій. </w:t>
      </w:r>
    </w:p>
    <w:p w:rsidR="00ED2CDA" w:rsidRDefault="00ED2CDA" w:rsidP="00ED2CDA">
      <w:pPr>
        <w:pStyle w:val="a4"/>
        <w:spacing w:before="48" w:beforeAutospacing="0" w:after="0" w:afterAutospacing="0"/>
        <w:ind w:left="720" w:right="-36"/>
        <w:rPr>
          <w:rFonts w:ascii="Georgia" w:hAnsi="Georgia"/>
        </w:rPr>
      </w:pPr>
    </w:p>
    <w:p w:rsidR="00ED2CDA" w:rsidRDefault="00ED2CDA" w:rsidP="00ED2CDA">
      <w:pPr>
        <w:pStyle w:val="a4"/>
        <w:spacing w:before="48" w:beforeAutospacing="0" w:after="0" w:afterAutospacing="0"/>
        <w:ind w:left="720" w:right="-36"/>
        <w:rPr>
          <w:rFonts w:ascii="Georgia" w:hAnsi="Georgia"/>
        </w:rPr>
      </w:pPr>
    </w:p>
    <w:p w:rsidR="00ED2CDA" w:rsidRDefault="007756E6" w:rsidP="007756E6">
      <w:pPr>
        <w:pStyle w:val="a4"/>
        <w:numPr>
          <w:ilvl w:val="0"/>
          <w:numId w:val="2"/>
        </w:numPr>
        <w:spacing w:before="48" w:after="0"/>
        <w:ind w:right="-36" w:hanging="153"/>
        <w:jc w:val="both"/>
        <w:rPr>
          <w:rFonts w:ascii="Georgia" w:hAnsi="Georgia"/>
          <w:sz w:val="28"/>
        </w:rPr>
      </w:pPr>
      <w:r w:rsidRPr="00A26913">
        <w:rPr>
          <w:rFonts w:ascii="Georgia" w:hAnsi="Georgia"/>
          <w:color w:val="00B050"/>
          <w:sz w:val="32"/>
        </w:rPr>
        <w:t>Об'єкт</w:t>
      </w:r>
      <w:r w:rsidR="00ED2CDA" w:rsidRPr="00A26913">
        <w:rPr>
          <w:rFonts w:ascii="Georgia" w:hAnsi="Georgia"/>
          <w:color w:val="00B050"/>
          <w:sz w:val="32"/>
        </w:rPr>
        <w:t xml:space="preserve"> управління охороною праці в галузі </w:t>
      </w:r>
      <w:r w:rsidRPr="00A26913">
        <w:rPr>
          <w:rFonts w:ascii="Georgia" w:hAnsi="Georgia"/>
          <w:sz w:val="32"/>
        </w:rPr>
        <w:t xml:space="preserve"> </w:t>
      </w:r>
      <w:r w:rsidRPr="007756E6">
        <w:rPr>
          <w:rFonts w:ascii="Georgia" w:hAnsi="Georgia"/>
          <w:sz w:val="28"/>
        </w:rPr>
        <w:t xml:space="preserve">- </w:t>
      </w:r>
      <w:r w:rsidR="00ED2CDA" w:rsidRPr="007756E6">
        <w:rPr>
          <w:rFonts w:ascii="Georgia" w:hAnsi="Georgia"/>
          <w:sz w:val="28"/>
        </w:rPr>
        <w:t xml:space="preserve"> діяльність керівництва</w:t>
      </w:r>
      <w:r w:rsidRPr="007756E6">
        <w:rPr>
          <w:rFonts w:ascii="Georgia" w:hAnsi="Georgia"/>
          <w:sz w:val="28"/>
          <w:lang w:val="ru-RU"/>
        </w:rPr>
        <w:t xml:space="preserve"> </w:t>
      </w:r>
      <w:r w:rsidR="00ED2CDA" w:rsidRPr="007756E6">
        <w:rPr>
          <w:rFonts w:ascii="Georgia" w:hAnsi="Georgia"/>
          <w:sz w:val="28"/>
        </w:rPr>
        <w:t>галуззю, структурних підрозділів і функціональних служб щодо здійснення</w:t>
      </w:r>
      <w:r w:rsidRPr="007756E6">
        <w:rPr>
          <w:rFonts w:ascii="Georgia" w:hAnsi="Georgia"/>
          <w:sz w:val="28"/>
          <w:lang w:val="ru-RU"/>
        </w:rPr>
        <w:t xml:space="preserve"> </w:t>
      </w:r>
      <w:r w:rsidR="00ED2CDA" w:rsidRPr="007756E6">
        <w:rPr>
          <w:rFonts w:ascii="Georgia" w:hAnsi="Georgia"/>
          <w:sz w:val="28"/>
        </w:rPr>
        <w:t>правових, організаційно-технічних, санітарно-гігієнічних, соціально-економічних і лікувально-профілактичних заходів з виконання законодавства і</w:t>
      </w:r>
      <w:r w:rsidRPr="007756E6">
        <w:rPr>
          <w:rFonts w:ascii="Georgia" w:hAnsi="Georgia"/>
          <w:sz w:val="28"/>
          <w:lang w:val="ru-RU"/>
        </w:rPr>
        <w:t xml:space="preserve"> </w:t>
      </w:r>
      <w:r w:rsidR="00ED2CDA" w:rsidRPr="007756E6">
        <w:rPr>
          <w:rFonts w:ascii="Georgia" w:hAnsi="Georgia"/>
          <w:sz w:val="28"/>
        </w:rPr>
        <w:t>нормативних вимог з охорони праці в галузі.</w:t>
      </w:r>
    </w:p>
    <w:p w:rsidR="00A26913" w:rsidRDefault="00A26913" w:rsidP="00A26913">
      <w:pPr>
        <w:pStyle w:val="a4"/>
        <w:numPr>
          <w:ilvl w:val="0"/>
          <w:numId w:val="2"/>
        </w:numPr>
        <w:spacing w:before="48" w:after="0"/>
        <w:ind w:right="-36" w:hanging="153"/>
        <w:jc w:val="both"/>
        <w:rPr>
          <w:rFonts w:ascii="Georgia" w:hAnsi="Georgia"/>
          <w:sz w:val="28"/>
        </w:rPr>
      </w:pPr>
      <w:r w:rsidRPr="00A26913">
        <w:rPr>
          <w:rFonts w:ascii="Georgia" w:hAnsi="Georgia"/>
          <w:color w:val="00B050"/>
          <w:sz w:val="32"/>
        </w:rPr>
        <w:t xml:space="preserve">Завдання управління охороною праці в галузі </w:t>
      </w:r>
      <w:r w:rsidRPr="00A26913">
        <w:rPr>
          <w:rFonts w:ascii="Georgia" w:hAnsi="Georgia"/>
          <w:sz w:val="28"/>
        </w:rPr>
        <w:t>— це заходи, які</w:t>
      </w:r>
      <w:r>
        <w:rPr>
          <w:rFonts w:ascii="Georgia" w:hAnsi="Georgia"/>
          <w:sz w:val="28"/>
          <w:lang w:val="ru-RU"/>
        </w:rPr>
        <w:t xml:space="preserve"> </w:t>
      </w:r>
      <w:r w:rsidRPr="00A26913">
        <w:rPr>
          <w:rFonts w:ascii="Georgia" w:hAnsi="Georgia"/>
          <w:sz w:val="28"/>
        </w:rPr>
        <w:t>необхідно виконувати в обумовлений терм</w:t>
      </w:r>
      <w:r w:rsidRPr="00A26913">
        <w:rPr>
          <w:rFonts w:ascii="Georgia" w:hAnsi="Georgia"/>
          <w:sz w:val="28"/>
        </w:rPr>
        <w:t xml:space="preserve">ін, які випливають з </w:t>
      </w:r>
      <w:r w:rsidRPr="00A26913">
        <w:rPr>
          <w:rFonts w:ascii="Georgia" w:hAnsi="Georgia"/>
          <w:sz w:val="28"/>
        </w:rPr>
        <w:t>управлінської,</w:t>
      </w:r>
      <w:r w:rsidRPr="00A26913">
        <w:rPr>
          <w:rFonts w:ascii="Georgia" w:hAnsi="Georgia"/>
          <w:sz w:val="28"/>
          <w:lang w:val="ru-RU"/>
        </w:rPr>
        <w:t xml:space="preserve"> </w:t>
      </w:r>
      <w:r w:rsidRPr="00A26913">
        <w:rPr>
          <w:rFonts w:ascii="Georgia" w:hAnsi="Georgia"/>
          <w:sz w:val="28"/>
        </w:rPr>
        <w:t>виробничої та іншої діяльності Міністерства і його структурних підрозділів.</w:t>
      </w:r>
    </w:p>
    <w:p w:rsidR="00A26913" w:rsidRDefault="00A26913" w:rsidP="00A26913">
      <w:pPr>
        <w:pStyle w:val="a4"/>
        <w:numPr>
          <w:ilvl w:val="0"/>
          <w:numId w:val="2"/>
        </w:numPr>
        <w:spacing w:before="48" w:after="0"/>
        <w:ind w:right="-36" w:hanging="153"/>
        <w:jc w:val="both"/>
        <w:rPr>
          <w:rFonts w:ascii="Georgia" w:hAnsi="Georgia"/>
          <w:sz w:val="28"/>
        </w:rPr>
      </w:pPr>
      <w:r w:rsidRPr="00A26913">
        <w:rPr>
          <w:rFonts w:ascii="Georgia" w:hAnsi="Georgia"/>
          <w:color w:val="00B050"/>
          <w:sz w:val="32"/>
        </w:rPr>
        <w:t>Планування</w:t>
      </w:r>
      <w:r w:rsidRPr="00A26913">
        <w:rPr>
          <w:rFonts w:ascii="Georgia" w:hAnsi="Georgia"/>
          <w:sz w:val="28"/>
        </w:rPr>
        <w:t xml:space="preserve"> — це встановлення цільових завдань виконавцям і</w:t>
      </w:r>
      <w:r>
        <w:rPr>
          <w:rFonts w:ascii="Georgia" w:hAnsi="Georgia"/>
          <w:sz w:val="28"/>
          <w:lang w:val="ru-RU"/>
        </w:rPr>
        <w:t xml:space="preserve"> </w:t>
      </w:r>
      <w:r w:rsidRPr="00A26913">
        <w:rPr>
          <w:rFonts w:ascii="Georgia" w:hAnsi="Georgia"/>
          <w:sz w:val="28"/>
        </w:rPr>
        <w:t>визначення потреби в ресурсах усіх видів, змі</w:t>
      </w:r>
      <w:r w:rsidRPr="00A26913">
        <w:rPr>
          <w:rFonts w:ascii="Georgia" w:hAnsi="Georgia"/>
          <w:sz w:val="28"/>
        </w:rPr>
        <w:t xml:space="preserve">сту і об'єму робіт з розподілом </w:t>
      </w:r>
      <w:r w:rsidRPr="00A26913">
        <w:rPr>
          <w:rFonts w:ascii="Georgia" w:hAnsi="Georgia"/>
          <w:sz w:val="28"/>
        </w:rPr>
        <w:t>їх</w:t>
      </w:r>
      <w:r w:rsidRPr="00A26913">
        <w:rPr>
          <w:rFonts w:ascii="Georgia" w:hAnsi="Georgia"/>
          <w:sz w:val="28"/>
          <w:lang w:val="ru-RU"/>
        </w:rPr>
        <w:t xml:space="preserve"> </w:t>
      </w:r>
      <w:r w:rsidRPr="00A26913">
        <w:rPr>
          <w:rFonts w:ascii="Georgia" w:hAnsi="Georgia"/>
          <w:sz w:val="28"/>
        </w:rPr>
        <w:t>щодо часу виконання.</w:t>
      </w:r>
    </w:p>
    <w:p w:rsidR="005A5C6A" w:rsidRDefault="005A5C6A" w:rsidP="00D629B0">
      <w:pPr>
        <w:pStyle w:val="a4"/>
        <w:numPr>
          <w:ilvl w:val="0"/>
          <w:numId w:val="2"/>
        </w:numPr>
        <w:spacing w:before="48" w:after="0"/>
        <w:ind w:right="106" w:hanging="153"/>
        <w:jc w:val="both"/>
        <w:rPr>
          <w:rFonts w:ascii="Georgia" w:hAnsi="Georgia"/>
          <w:sz w:val="28"/>
        </w:rPr>
      </w:pPr>
      <w:r w:rsidRPr="005A5C6A">
        <w:rPr>
          <w:rFonts w:ascii="Georgia" w:hAnsi="Georgia"/>
          <w:color w:val="00B050"/>
          <w:sz w:val="32"/>
        </w:rPr>
        <w:t xml:space="preserve">Мотивація роботи з охорони праці </w:t>
      </w:r>
      <w:r w:rsidRPr="005A5C6A">
        <w:rPr>
          <w:rFonts w:ascii="Georgia" w:hAnsi="Georgia"/>
          <w:sz w:val="28"/>
        </w:rPr>
        <w:t>— це вид управлінської</w:t>
      </w:r>
      <w:r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діяльності, який забезпечує процес спонукання керівника і працівників до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діяльності, що спрямована на досягнення цілей охорони праці.</w:t>
      </w:r>
    </w:p>
    <w:p w:rsidR="005A5C6A" w:rsidRDefault="005A5C6A" w:rsidP="00D629B0">
      <w:pPr>
        <w:pStyle w:val="a4"/>
        <w:numPr>
          <w:ilvl w:val="0"/>
          <w:numId w:val="2"/>
        </w:numPr>
        <w:spacing w:before="48" w:after="0"/>
        <w:ind w:right="106" w:hanging="153"/>
        <w:jc w:val="both"/>
        <w:rPr>
          <w:rFonts w:ascii="Georgia" w:hAnsi="Georgia"/>
          <w:sz w:val="28"/>
        </w:rPr>
      </w:pPr>
      <w:r w:rsidRPr="005A5C6A">
        <w:rPr>
          <w:rFonts w:ascii="Georgia" w:hAnsi="Georgia"/>
          <w:color w:val="00B050"/>
          <w:sz w:val="32"/>
        </w:rPr>
        <w:t>Контроль, облік, аналіз, звітність, комунікація, аудит,</w:t>
      </w:r>
      <w:r w:rsidRPr="005A5C6A">
        <w:rPr>
          <w:rFonts w:ascii="Georgia" w:hAnsi="Georgia"/>
          <w:color w:val="00B050"/>
          <w:sz w:val="32"/>
          <w:lang w:val="ru-RU"/>
        </w:rPr>
        <w:t xml:space="preserve"> </w:t>
      </w:r>
      <w:r w:rsidRPr="005A5C6A">
        <w:rPr>
          <w:rFonts w:ascii="Georgia" w:hAnsi="Georgia"/>
          <w:color w:val="00B050"/>
          <w:sz w:val="32"/>
        </w:rPr>
        <w:t xml:space="preserve">моніторинг — </w:t>
      </w:r>
      <w:r w:rsidRPr="005A5C6A">
        <w:rPr>
          <w:rFonts w:ascii="Georgia" w:hAnsi="Georgia"/>
          <w:sz w:val="28"/>
        </w:rPr>
        <w:t>функція управління, призначена для з'ясування фактичного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стану і виконання завдань з охорон</w:t>
      </w:r>
      <w:r w:rsidRPr="005A5C6A">
        <w:rPr>
          <w:rFonts w:ascii="Georgia" w:hAnsi="Georgia"/>
          <w:sz w:val="28"/>
        </w:rPr>
        <w:t xml:space="preserve">и праці в галузі (підрозділах), </w:t>
      </w:r>
      <w:r w:rsidRPr="005A5C6A">
        <w:rPr>
          <w:rFonts w:ascii="Georgia" w:hAnsi="Georgia"/>
          <w:sz w:val="28"/>
        </w:rPr>
        <w:t>порівняно з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планом і чинними нормативними актами, визначення наслідків цих відхилень,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 xml:space="preserve">нагромадження планових </w:t>
      </w:r>
      <w:r w:rsidRPr="005A5C6A">
        <w:rPr>
          <w:rFonts w:ascii="Georgia" w:hAnsi="Georgia"/>
          <w:sz w:val="28"/>
        </w:rPr>
        <w:t xml:space="preserve">і фактичних даних, періодичного </w:t>
      </w:r>
      <w:r w:rsidRPr="005A5C6A">
        <w:rPr>
          <w:rFonts w:ascii="Georgia" w:hAnsi="Georgia"/>
          <w:sz w:val="28"/>
        </w:rPr>
        <w:t>складання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статистичних звітів установлен</w:t>
      </w:r>
      <w:r w:rsidRPr="005A5C6A">
        <w:rPr>
          <w:rFonts w:ascii="Georgia" w:hAnsi="Georgia"/>
          <w:sz w:val="28"/>
        </w:rPr>
        <w:t xml:space="preserve">ої форми, прийняття рішень щодо </w:t>
      </w:r>
      <w:r w:rsidRPr="005A5C6A">
        <w:rPr>
          <w:rFonts w:ascii="Georgia" w:hAnsi="Georgia"/>
          <w:sz w:val="28"/>
        </w:rPr>
        <w:t>визначення і</w:t>
      </w:r>
      <w:r w:rsidRPr="005A5C6A">
        <w:rPr>
          <w:rFonts w:ascii="Georgia" w:hAnsi="Georgia"/>
          <w:sz w:val="28"/>
          <w:lang w:val="ru-RU"/>
        </w:rPr>
        <w:t xml:space="preserve"> </w:t>
      </w:r>
      <w:r w:rsidRPr="005A5C6A">
        <w:rPr>
          <w:rFonts w:ascii="Georgia" w:hAnsi="Georgia"/>
          <w:sz w:val="28"/>
        </w:rPr>
        <w:t>включення заходів охорони праці в плани робіт наступних років.</w:t>
      </w:r>
    </w:p>
    <w:p w:rsidR="00E25388" w:rsidRPr="00E25388" w:rsidRDefault="00E25388" w:rsidP="00D629B0">
      <w:pPr>
        <w:pStyle w:val="a3"/>
        <w:numPr>
          <w:ilvl w:val="0"/>
          <w:numId w:val="2"/>
        </w:numPr>
        <w:spacing w:before="240"/>
        <w:ind w:right="106" w:hanging="153"/>
        <w:jc w:val="both"/>
        <w:rPr>
          <w:rFonts w:ascii="Georgia" w:hAnsi="Georgia"/>
          <w:color w:val="000000"/>
          <w:sz w:val="28"/>
          <w:szCs w:val="28"/>
        </w:rPr>
      </w:pPr>
      <w:r w:rsidRPr="00E25388">
        <w:rPr>
          <w:rFonts w:ascii="Georgia" w:hAnsi="Georgia"/>
          <w:bCs/>
          <w:iCs/>
          <w:color w:val="00B050"/>
          <w:sz w:val="32"/>
          <w:szCs w:val="28"/>
        </w:rPr>
        <w:t>Відомчий контроль</w:t>
      </w:r>
      <w:r w:rsidRPr="00E25388">
        <w:rPr>
          <w:rFonts w:ascii="Georgia" w:hAnsi="Georgia"/>
          <w:b/>
          <w:bCs/>
          <w:i/>
          <w:iCs/>
          <w:color w:val="00B050"/>
          <w:sz w:val="32"/>
          <w:szCs w:val="28"/>
        </w:rPr>
        <w:t xml:space="preserve"> </w:t>
      </w:r>
      <w:r w:rsidRPr="00E25388">
        <w:rPr>
          <w:rFonts w:ascii="Georgia" w:hAnsi="Georgia"/>
          <w:bCs/>
          <w:iCs/>
          <w:color w:val="00B050"/>
          <w:sz w:val="32"/>
          <w:szCs w:val="28"/>
        </w:rPr>
        <w:t>-</w:t>
      </w:r>
      <w:r w:rsidRPr="00E25388">
        <w:rPr>
          <w:rFonts w:ascii="Georgia" w:hAnsi="Georgia"/>
          <w:b/>
          <w:bCs/>
          <w:i/>
          <w:iCs/>
          <w:color w:val="000000"/>
          <w:sz w:val="28"/>
          <w:szCs w:val="28"/>
        </w:rPr>
        <w:t xml:space="preserve"> </w:t>
      </w:r>
      <w:r w:rsidRPr="00E25388">
        <w:rPr>
          <w:rFonts w:ascii="Georgia" w:hAnsi="Georgia"/>
          <w:color w:val="000000"/>
          <w:sz w:val="28"/>
          <w:szCs w:val="28"/>
        </w:rPr>
        <w:t>з</w:t>
      </w:r>
      <w:r w:rsidRPr="00E25388">
        <w:rPr>
          <w:rFonts w:ascii="Georgia" w:hAnsi="Georgia"/>
          <w:color w:val="000000"/>
          <w:sz w:val="28"/>
          <w:szCs w:val="28"/>
        </w:rPr>
        <w:t>а діяльністю органів і установ виконання покарань здійснюється відомчий контроль вищестоящими органами управління і посадовими особами центрального органу виконавчої влади з питань виконання покарань.</w:t>
      </w:r>
    </w:p>
    <w:p w:rsidR="00E25388" w:rsidRPr="00E25388" w:rsidRDefault="00E25388" w:rsidP="00D629B0">
      <w:pPr>
        <w:pStyle w:val="a3"/>
        <w:numPr>
          <w:ilvl w:val="0"/>
          <w:numId w:val="2"/>
        </w:numPr>
        <w:spacing w:before="48" w:after="0" w:line="240" w:lineRule="auto"/>
        <w:ind w:right="106" w:hanging="153"/>
        <w:jc w:val="both"/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</w:pPr>
      <w:r w:rsidRPr="00E25388">
        <w:rPr>
          <w:rFonts w:ascii="Georgia" w:hAnsi="Georgia"/>
          <w:bCs/>
          <w:iCs/>
          <w:color w:val="00B050"/>
          <w:sz w:val="32"/>
          <w:szCs w:val="28"/>
        </w:rPr>
        <w:t>Державний міжгалузевий нормативний акт про охорону праці</w:t>
      </w:r>
      <w:r w:rsidRPr="00E25388">
        <w:rPr>
          <w:rFonts w:ascii="Georgia" w:eastAsia="Times New Roman" w:hAnsi="Georgia" w:cs="Times New Roman"/>
          <w:bCs/>
          <w:iCs/>
          <w:color w:val="00B050"/>
          <w:sz w:val="32"/>
          <w:szCs w:val="28"/>
          <w:lang w:eastAsia="ru-RU"/>
        </w:rPr>
        <w:t xml:space="preserve"> </w:t>
      </w:r>
      <w:r w:rsidRPr="00E25388">
        <w:rPr>
          <w:rFonts w:ascii="Georgia" w:eastAsia="Times New Roman" w:hAnsi="Georgia" w:cs="Times New Roman"/>
          <w:bCs/>
          <w:iCs/>
          <w:color w:val="00B050"/>
          <w:sz w:val="28"/>
          <w:szCs w:val="28"/>
          <w:lang w:eastAsia="ru-RU"/>
        </w:rPr>
        <w:t xml:space="preserve">— </w:t>
      </w:r>
      <w:r w:rsidRPr="00E25388"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  <w:t>це ДНАОП загальнодержавного користування, дія якого поширюється на всі підприємства, установи, організації господарської діяльності України незалежно від їх відомчої (галузевої) приналежності та форм власності.</w:t>
      </w:r>
    </w:p>
    <w:p w:rsidR="00D629B0" w:rsidRPr="00D629B0" w:rsidRDefault="00D629B0" w:rsidP="00D629B0">
      <w:pPr>
        <w:pStyle w:val="a3"/>
        <w:numPr>
          <w:ilvl w:val="0"/>
          <w:numId w:val="2"/>
        </w:numPr>
        <w:spacing w:before="48" w:after="0" w:line="240" w:lineRule="auto"/>
        <w:ind w:right="106" w:hanging="153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629B0">
        <w:rPr>
          <w:rFonts w:ascii="Georgia" w:hAnsi="Georgia"/>
          <w:bCs/>
          <w:iCs/>
          <w:color w:val="00B050"/>
          <w:sz w:val="32"/>
          <w:szCs w:val="28"/>
        </w:rPr>
        <w:t xml:space="preserve">Державний галузевий нормативний акт про охорону праці </w:t>
      </w:r>
      <w:r w:rsidRPr="00D629B0">
        <w:rPr>
          <w:rFonts w:ascii="Georgia" w:eastAsia="Times New Roman" w:hAnsi="Georgia" w:cs="Times New Roman"/>
          <w:bCs/>
          <w:iCs/>
          <w:color w:val="00B050"/>
          <w:sz w:val="32"/>
          <w:szCs w:val="28"/>
          <w:lang w:eastAsia="ru-RU"/>
        </w:rPr>
        <w:t xml:space="preserve">— </w:t>
      </w:r>
      <w:r w:rsidRPr="00D629B0"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  <w:t>це ДНАОП, дія якого поширюється на підприємства, установи та організації незалежно від форм власності, що належать до певної галузі</w:t>
      </w:r>
      <w:r w:rsidRPr="00D629B0">
        <w:rPr>
          <w:rFonts w:ascii="Georgia" w:eastAsia="Times New Roman" w:hAnsi="Georgia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D629B0" w:rsidRPr="00D629B0" w:rsidRDefault="00D629B0" w:rsidP="00D629B0">
      <w:pPr>
        <w:pStyle w:val="a3"/>
        <w:numPr>
          <w:ilvl w:val="0"/>
          <w:numId w:val="2"/>
        </w:numPr>
        <w:spacing w:before="48" w:after="0" w:line="240" w:lineRule="auto"/>
        <w:ind w:right="106" w:hanging="153"/>
        <w:jc w:val="both"/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</w:pPr>
      <w:r w:rsidRPr="00D629B0">
        <w:rPr>
          <w:rFonts w:ascii="Georgia" w:hAnsi="Georgia"/>
          <w:bCs/>
          <w:iCs/>
          <w:color w:val="00B050"/>
          <w:sz w:val="32"/>
          <w:szCs w:val="28"/>
        </w:rPr>
        <w:t>Служба охорони праці</w:t>
      </w:r>
      <w:r w:rsidRPr="00D629B0">
        <w:rPr>
          <w:rFonts w:ascii="Georgia" w:hAnsi="Georgia"/>
          <w:color w:val="00B050"/>
          <w:sz w:val="24"/>
        </w:rPr>
        <w:t xml:space="preserve"> </w:t>
      </w:r>
      <w:r w:rsidRPr="00D629B0">
        <w:rPr>
          <w:rFonts w:ascii="Georgia" w:eastAsia="Times New Roman" w:hAnsi="Georgia" w:cs="Times New Roman"/>
          <w:bCs/>
          <w:iCs/>
          <w:color w:val="00B050"/>
          <w:sz w:val="28"/>
          <w:szCs w:val="28"/>
          <w:lang w:eastAsia="ru-RU"/>
        </w:rPr>
        <w:t>-</w:t>
      </w:r>
      <w:r w:rsidRPr="00D629B0"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D629B0"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  <w:t>служба,яку створює роботодавець</w:t>
      </w:r>
      <w:r w:rsidRPr="00D629B0">
        <w:rPr>
          <w:rFonts w:ascii="Georgia" w:hAnsi="Georgia"/>
        </w:rPr>
        <w:t xml:space="preserve"> </w:t>
      </w:r>
      <w:r w:rsidRPr="00D629B0"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  <w:t>для організації та контролю за виконанням заходів, спрямованих на запобігання нещасних випадків, професійних захворювань та аварій.</w:t>
      </w:r>
    </w:p>
    <w:p w:rsidR="00B236A7" w:rsidRPr="005A5C6A" w:rsidRDefault="00B236A7" w:rsidP="00D629B0">
      <w:pPr>
        <w:pStyle w:val="a4"/>
        <w:spacing w:before="48" w:after="0"/>
        <w:ind w:left="720" w:right="-36"/>
        <w:jc w:val="both"/>
        <w:rPr>
          <w:rFonts w:ascii="Georgia" w:hAnsi="Georgia"/>
          <w:sz w:val="28"/>
        </w:rPr>
      </w:pPr>
      <w:bookmarkStart w:id="0" w:name="_GoBack"/>
      <w:bookmarkEnd w:id="0"/>
    </w:p>
    <w:sectPr w:rsidR="00B236A7" w:rsidRPr="005A5C6A" w:rsidSect="00E8727A"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FD7"/>
    <w:multiLevelType w:val="hybridMultilevel"/>
    <w:tmpl w:val="AB3CB126"/>
    <w:lvl w:ilvl="0" w:tplc="E52A3BA8">
      <w:start w:val="9"/>
      <w:numFmt w:val="decimal"/>
      <w:lvlText w:val="%1."/>
      <w:lvlJc w:val="left"/>
      <w:pPr>
        <w:ind w:left="1509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>
    <w:nsid w:val="1E5B3821"/>
    <w:multiLevelType w:val="hybridMultilevel"/>
    <w:tmpl w:val="BC9658A8"/>
    <w:lvl w:ilvl="0" w:tplc="919C980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B050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15091"/>
    <w:multiLevelType w:val="hybridMultilevel"/>
    <w:tmpl w:val="027A8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032A1"/>
    <w:multiLevelType w:val="hybridMultilevel"/>
    <w:tmpl w:val="20721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116B0"/>
    <w:multiLevelType w:val="hybridMultilevel"/>
    <w:tmpl w:val="251E567A"/>
    <w:lvl w:ilvl="0" w:tplc="39CCC76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B56EFF"/>
    <w:multiLevelType w:val="hybridMultilevel"/>
    <w:tmpl w:val="1B10BCA6"/>
    <w:lvl w:ilvl="0" w:tplc="0422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>
    <w:nsid w:val="64363600"/>
    <w:multiLevelType w:val="hybridMultilevel"/>
    <w:tmpl w:val="D7B2460A"/>
    <w:lvl w:ilvl="0" w:tplc="0422000F">
      <w:start w:val="1"/>
      <w:numFmt w:val="decimal"/>
      <w:lvlText w:val="%1."/>
      <w:lvlJc w:val="left"/>
      <w:pPr>
        <w:ind w:left="855" w:hanging="360"/>
      </w:p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6D86791A"/>
    <w:multiLevelType w:val="hybridMultilevel"/>
    <w:tmpl w:val="1EBC8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2521B"/>
    <w:multiLevelType w:val="hybridMultilevel"/>
    <w:tmpl w:val="CC6CC116"/>
    <w:lvl w:ilvl="0" w:tplc="E52A3BA8">
      <w:start w:val="9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B6503"/>
    <w:multiLevelType w:val="hybridMultilevel"/>
    <w:tmpl w:val="E3A0362C"/>
    <w:lvl w:ilvl="0" w:tplc="39CCC7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88"/>
    <w:rsid w:val="000D4188"/>
    <w:rsid w:val="00181DB1"/>
    <w:rsid w:val="005A5C6A"/>
    <w:rsid w:val="005D3A67"/>
    <w:rsid w:val="007756E6"/>
    <w:rsid w:val="009E4DE8"/>
    <w:rsid w:val="00A26913"/>
    <w:rsid w:val="00A6701F"/>
    <w:rsid w:val="00B236A7"/>
    <w:rsid w:val="00D629B0"/>
    <w:rsid w:val="00E25388"/>
    <w:rsid w:val="00E8727A"/>
    <w:rsid w:val="00E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2CA64-EECF-4B79-AB4D-91977DE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7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4529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2019-02-27T18:28:00Z</dcterms:created>
  <dcterms:modified xsi:type="dcterms:W3CDTF">2019-02-27T19:54:00Z</dcterms:modified>
</cp:coreProperties>
</file>