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A" w:rsidRPr="00ED2CDA" w:rsidRDefault="00E8727A" w:rsidP="00E8727A">
      <w:pPr>
        <w:jc w:val="center"/>
        <w:rPr>
          <w:rFonts w:ascii="Georgia" w:hAnsi="Georgia"/>
          <w:b/>
          <w:color w:val="00B050"/>
          <w:sz w:val="40"/>
        </w:rPr>
      </w:pPr>
      <w:r w:rsidRPr="00ED2CDA">
        <w:rPr>
          <w:rFonts w:ascii="Georgia" w:hAnsi="Georgia"/>
          <w:b/>
          <w:color w:val="00B050"/>
          <w:sz w:val="40"/>
        </w:rPr>
        <w:t>Терміни</w:t>
      </w:r>
    </w:p>
    <w:p w:rsidR="005D3A67" w:rsidRPr="00ED2CDA" w:rsidRDefault="000A60D3" w:rsidP="00D755D3">
      <w:pPr>
        <w:pStyle w:val="a3"/>
        <w:numPr>
          <w:ilvl w:val="0"/>
          <w:numId w:val="2"/>
        </w:numPr>
        <w:jc w:val="both"/>
        <w:rPr>
          <w:rFonts w:ascii="Georgia" w:hAnsi="Georgia"/>
          <w:sz w:val="28"/>
        </w:rPr>
      </w:pPr>
      <w:r>
        <w:rPr>
          <w:rFonts w:ascii="Georgia" w:hAnsi="Georgia"/>
          <w:color w:val="00B050"/>
          <w:sz w:val="32"/>
        </w:rPr>
        <w:tab/>
      </w:r>
      <w:r w:rsidR="00D755D3" w:rsidRPr="00D755D3">
        <w:rPr>
          <w:rFonts w:ascii="Georgia" w:hAnsi="Georgia"/>
          <w:color w:val="00B050"/>
          <w:sz w:val="32"/>
        </w:rPr>
        <w:t xml:space="preserve">Фізичні фактори – </w:t>
      </w:r>
      <w:r w:rsidR="00D755D3" w:rsidRPr="00D755D3">
        <w:rPr>
          <w:rFonts w:ascii="Georgia" w:hAnsi="Georgia"/>
          <w:sz w:val="28"/>
        </w:rPr>
        <w:t>це машини та механізми що рухаються; рухомі частини обладнання; вироби та заготовки, що переміщуються; конструкції, що руйнуються; гірські породи, що обрушуються; гострі кромки, задирки; розміщення робочих місць на висоті; підвищена запиленість та загазованість повітря; підвищені рівні шуму, вібрації, інфразвуку, ультразвуку, іонізуючих випромінювань, напруги в електричній мережі, статичних електричних зарядів, електромагнітних випромінювань, інфрачервоної та ультрафіолетової радіації; підвищена напруженість електричного та магнітного полів; підвищені або понижені температура повітря, поверхонь, матеріалів; барометричний тиск, вологість, рухомість, іонізація повітря; відсутність чи недостатня величина природного освітлення; недостатня освітленість; підвищена яскравість джерел світла; пульсація світлового потоку.</w:t>
      </w:r>
    </w:p>
    <w:p w:rsidR="00D755D3" w:rsidRPr="00D755D3" w:rsidRDefault="000A60D3" w:rsidP="00D755D3">
      <w:pPr>
        <w:pStyle w:val="a3"/>
        <w:numPr>
          <w:ilvl w:val="0"/>
          <w:numId w:val="2"/>
        </w:numPr>
        <w:jc w:val="both"/>
        <w:rPr>
          <w:rFonts w:ascii="Georgia" w:hAnsi="Georgia"/>
          <w:sz w:val="28"/>
          <w:lang w:val="ru-RU"/>
        </w:rPr>
      </w:pPr>
      <w:r>
        <w:rPr>
          <w:rFonts w:ascii="Georgia" w:hAnsi="Georgia"/>
          <w:color w:val="00B050"/>
          <w:sz w:val="32"/>
          <w:lang w:val="ru-RU"/>
        </w:rPr>
        <w:tab/>
      </w:r>
      <w:r w:rsidR="00D755D3">
        <w:rPr>
          <w:rFonts w:ascii="Georgia" w:hAnsi="Georgia"/>
          <w:color w:val="00B050"/>
          <w:sz w:val="32"/>
          <w:lang w:val="ru-RU"/>
        </w:rPr>
        <w:t xml:space="preserve">Хімічні фактори </w:t>
      </w:r>
      <w:r w:rsidR="00535AFD" w:rsidRPr="00CC273C">
        <w:rPr>
          <w:rFonts w:ascii="Georgia" w:hAnsi="Georgia"/>
          <w:color w:val="00B050"/>
          <w:sz w:val="32"/>
        </w:rPr>
        <w:t xml:space="preserve">– </w:t>
      </w:r>
      <w:r w:rsidR="00D755D3" w:rsidRPr="00D755D3">
        <w:rPr>
          <w:rFonts w:ascii="Georgia" w:hAnsi="Georgia"/>
          <w:sz w:val="28"/>
          <w:lang w:val="ru-RU"/>
        </w:rPr>
        <w:t xml:space="preserve">в залежності від характеру дії на організм людини, діляться на токсичні, подразнюючі, сенсибілізуючі, канцерогенні, мутагенні та такі, що впливають на репродуктивну функцію. </w:t>
      </w:r>
    </w:p>
    <w:p w:rsidR="00032080" w:rsidRPr="00032080" w:rsidRDefault="000A60D3" w:rsidP="00032080">
      <w:pPr>
        <w:pStyle w:val="a3"/>
        <w:numPr>
          <w:ilvl w:val="0"/>
          <w:numId w:val="2"/>
        </w:numPr>
        <w:jc w:val="both"/>
        <w:rPr>
          <w:rFonts w:ascii="Georgia" w:hAnsi="Georgia"/>
          <w:sz w:val="28"/>
          <w:lang w:val="ru-RU"/>
        </w:rPr>
      </w:pPr>
      <w:r>
        <w:rPr>
          <w:rFonts w:ascii="Georgia" w:hAnsi="Georgia"/>
          <w:color w:val="00B050"/>
          <w:sz w:val="32"/>
          <w:lang w:val="ru-RU"/>
        </w:rPr>
        <w:tab/>
      </w:r>
      <w:r w:rsidR="00032080" w:rsidRPr="00032080">
        <w:rPr>
          <w:rFonts w:ascii="Georgia" w:hAnsi="Georgia"/>
          <w:color w:val="00B050"/>
          <w:sz w:val="32"/>
          <w:lang w:val="ru-RU"/>
        </w:rPr>
        <w:t xml:space="preserve">Біологічні фактори </w:t>
      </w:r>
      <w:r w:rsidR="00032080" w:rsidRPr="00032080">
        <w:rPr>
          <w:rFonts w:ascii="Georgia" w:hAnsi="Georgia"/>
          <w:sz w:val="28"/>
          <w:lang w:val="ru-RU"/>
        </w:rPr>
        <w:t xml:space="preserve">включають патогенні (хвороботворні) мікроорганізми (бактерії, віруси, гриби, рослини, тварини) та продукти їх життєдіяльності. </w:t>
      </w:r>
    </w:p>
    <w:p w:rsidR="00032080" w:rsidRPr="00032080" w:rsidRDefault="000A60D3" w:rsidP="00032080">
      <w:pPr>
        <w:pStyle w:val="a3"/>
        <w:numPr>
          <w:ilvl w:val="0"/>
          <w:numId w:val="2"/>
        </w:numPr>
        <w:jc w:val="both"/>
        <w:rPr>
          <w:rFonts w:ascii="Georgia" w:hAnsi="Georgia"/>
          <w:sz w:val="28"/>
          <w:lang w:val="ru-RU"/>
        </w:rPr>
      </w:pPr>
      <w:r>
        <w:rPr>
          <w:rFonts w:ascii="Georgia" w:hAnsi="Georgia"/>
          <w:color w:val="00B050"/>
          <w:sz w:val="32"/>
          <w:lang w:val="ru-RU"/>
        </w:rPr>
        <w:tab/>
      </w:r>
      <w:r w:rsidR="00032080" w:rsidRPr="00032080">
        <w:rPr>
          <w:rFonts w:ascii="Georgia" w:hAnsi="Georgia"/>
          <w:color w:val="00B050"/>
          <w:sz w:val="32"/>
          <w:lang w:val="ru-RU"/>
        </w:rPr>
        <w:t xml:space="preserve">Психофізіологічні фактори </w:t>
      </w:r>
      <w:r w:rsidR="00032080" w:rsidRPr="00032080">
        <w:rPr>
          <w:rFonts w:ascii="Georgia" w:hAnsi="Georgia"/>
          <w:sz w:val="28"/>
          <w:lang w:val="ru-RU"/>
        </w:rPr>
        <w:t>діляться на: фізичні перевантаження (статичні, динамічні) та нервово-психічні перевантаження (розумові, емоційні перевантаження, перенапруження аналізаторів, монотонність роботи.</w:t>
      </w:r>
    </w:p>
    <w:p w:rsidR="00032080" w:rsidRPr="00032080" w:rsidRDefault="000A60D3" w:rsidP="00032080">
      <w:pPr>
        <w:pStyle w:val="a3"/>
        <w:numPr>
          <w:ilvl w:val="0"/>
          <w:numId w:val="2"/>
        </w:numPr>
        <w:jc w:val="both"/>
        <w:rPr>
          <w:rFonts w:ascii="Georgia" w:hAnsi="Georgia"/>
          <w:sz w:val="28"/>
          <w:lang w:val="ru-RU"/>
        </w:rPr>
      </w:pPr>
      <w:r>
        <w:rPr>
          <w:rFonts w:ascii="Georgia" w:hAnsi="Georgia"/>
          <w:color w:val="00B050"/>
          <w:sz w:val="32"/>
          <w:lang w:val="ru-RU"/>
        </w:rPr>
        <w:tab/>
      </w:r>
      <w:r w:rsidR="00032080" w:rsidRPr="00032080">
        <w:rPr>
          <w:rFonts w:ascii="Georgia" w:hAnsi="Georgia"/>
          <w:color w:val="00B050"/>
          <w:sz w:val="32"/>
          <w:lang w:val="ru-RU"/>
        </w:rPr>
        <w:t xml:space="preserve">Гомеостаз </w:t>
      </w:r>
      <w:r w:rsidR="00535AFD" w:rsidRPr="00CC273C">
        <w:rPr>
          <w:rFonts w:ascii="Georgia" w:hAnsi="Georgia"/>
          <w:color w:val="00B050"/>
          <w:sz w:val="32"/>
        </w:rPr>
        <w:t xml:space="preserve">– </w:t>
      </w:r>
      <w:r w:rsidR="00032080" w:rsidRPr="00032080">
        <w:rPr>
          <w:rFonts w:ascii="Georgia" w:hAnsi="Georgia"/>
          <w:sz w:val="28"/>
          <w:lang w:val="ru-RU"/>
        </w:rPr>
        <w:t>універсальній властивості зберігати і підтримувати стабільність роботи різних систем організму у відповідь на впливи, що порушують цю стабільність.</w:t>
      </w:r>
    </w:p>
    <w:p w:rsidR="00C97479" w:rsidRPr="00C97479" w:rsidRDefault="000A60D3" w:rsidP="00C97479">
      <w:pPr>
        <w:pStyle w:val="a3"/>
        <w:numPr>
          <w:ilvl w:val="0"/>
          <w:numId w:val="2"/>
        </w:numPr>
        <w:jc w:val="both"/>
        <w:rPr>
          <w:rFonts w:ascii="Georgia" w:hAnsi="Georgia"/>
          <w:sz w:val="28"/>
          <w:lang w:val="ru-RU"/>
        </w:rPr>
      </w:pPr>
      <w:r>
        <w:rPr>
          <w:rFonts w:ascii="Georgia" w:hAnsi="Georgia"/>
          <w:color w:val="00B050"/>
          <w:sz w:val="32"/>
          <w:lang w:val="ru-RU"/>
        </w:rPr>
        <w:tab/>
      </w:r>
      <w:r w:rsidR="00C97479" w:rsidRPr="00C97479">
        <w:rPr>
          <w:rFonts w:ascii="Georgia" w:hAnsi="Georgia"/>
          <w:color w:val="00B050"/>
          <w:sz w:val="32"/>
          <w:lang w:val="ru-RU"/>
        </w:rPr>
        <w:t xml:space="preserve">Напруженість праці </w:t>
      </w:r>
      <w:r w:rsidR="00C97479" w:rsidRPr="00C97479">
        <w:rPr>
          <w:rFonts w:ascii="Georgia" w:hAnsi="Georgia"/>
          <w:sz w:val="28"/>
          <w:lang w:val="ru-RU"/>
        </w:rPr>
        <w:t xml:space="preserve">відображає навантаження на центральну нервову систему, психічні функції, характеризується обсягом сприйманої інформації, щільністю сигналів, що надходять, станом аналізаторних систем, рівнем емоційної напруги і визначається ступенем напруги уваги. </w:t>
      </w:r>
    </w:p>
    <w:p w:rsidR="00ED2CDA" w:rsidRPr="00AB2275" w:rsidRDefault="000A60D3" w:rsidP="00AB2275">
      <w:pPr>
        <w:pStyle w:val="a3"/>
        <w:numPr>
          <w:ilvl w:val="0"/>
          <w:numId w:val="2"/>
        </w:numPr>
        <w:spacing w:before="240"/>
        <w:jc w:val="both"/>
        <w:rPr>
          <w:rFonts w:ascii="Georgia" w:hAnsi="Georgia"/>
          <w:color w:val="000000"/>
          <w:sz w:val="28"/>
          <w:szCs w:val="28"/>
        </w:rPr>
      </w:pPr>
      <w:r>
        <w:rPr>
          <w:rFonts w:ascii="Georgia" w:hAnsi="Georgia"/>
          <w:color w:val="00B050"/>
          <w:sz w:val="32"/>
          <w:szCs w:val="28"/>
        </w:rPr>
        <w:tab/>
      </w:r>
      <w:r w:rsidR="00E80DEE">
        <w:rPr>
          <w:rFonts w:ascii="Georgia" w:hAnsi="Georgia"/>
          <w:color w:val="00B050"/>
          <w:sz w:val="32"/>
          <w:szCs w:val="28"/>
        </w:rPr>
        <w:t>Працезд</w:t>
      </w:r>
      <w:r w:rsidR="00E80DEE">
        <w:rPr>
          <w:rFonts w:ascii="Georgia" w:hAnsi="Georgia"/>
          <w:color w:val="00B050"/>
          <w:sz w:val="32"/>
          <w:szCs w:val="28"/>
          <w:lang w:val="ru-RU"/>
        </w:rPr>
        <w:t>а</w:t>
      </w:r>
      <w:r w:rsidR="00906B15" w:rsidRPr="00906B15">
        <w:rPr>
          <w:rFonts w:ascii="Georgia" w:hAnsi="Georgia"/>
          <w:color w:val="00B050"/>
          <w:sz w:val="32"/>
          <w:szCs w:val="28"/>
        </w:rPr>
        <w:t xml:space="preserve">тність </w:t>
      </w:r>
      <w:r w:rsidR="00535AFD" w:rsidRPr="00CC273C">
        <w:rPr>
          <w:rFonts w:ascii="Georgia" w:hAnsi="Georgia"/>
          <w:color w:val="00B050"/>
          <w:sz w:val="32"/>
        </w:rPr>
        <w:t xml:space="preserve">– </w:t>
      </w:r>
      <w:r w:rsidR="00906B15" w:rsidRPr="00906B15">
        <w:rPr>
          <w:rFonts w:ascii="Georgia" w:hAnsi="Georgia"/>
          <w:sz w:val="28"/>
          <w:szCs w:val="28"/>
        </w:rPr>
        <w:t>потенційні можливості людини зробити роботу у певний відрізок часу.</w:t>
      </w:r>
    </w:p>
    <w:p w:rsidR="00AB2275" w:rsidRPr="00AB2275" w:rsidRDefault="000A60D3" w:rsidP="00AB2275">
      <w:pPr>
        <w:pStyle w:val="a4"/>
        <w:numPr>
          <w:ilvl w:val="0"/>
          <w:numId w:val="2"/>
        </w:numPr>
        <w:spacing w:before="48" w:after="0"/>
        <w:ind w:right="-36"/>
        <w:jc w:val="both"/>
        <w:rPr>
          <w:rFonts w:ascii="Georgia" w:hAnsi="Georgia"/>
          <w:sz w:val="28"/>
        </w:rPr>
      </w:pPr>
      <w:r>
        <w:rPr>
          <w:rFonts w:ascii="Georgia" w:eastAsiaTheme="minorHAnsi" w:hAnsi="Georgia" w:cstheme="minorBidi"/>
          <w:color w:val="00B050"/>
          <w:sz w:val="32"/>
          <w:szCs w:val="28"/>
          <w:lang w:eastAsia="en-US"/>
        </w:rPr>
        <w:tab/>
      </w:r>
      <w:r w:rsidR="00AB2275" w:rsidRPr="00AB2275">
        <w:rPr>
          <w:rFonts w:ascii="Georgia" w:eastAsiaTheme="minorHAnsi" w:hAnsi="Georgia" w:cstheme="minorBidi"/>
          <w:color w:val="00B050"/>
          <w:sz w:val="32"/>
          <w:szCs w:val="28"/>
          <w:lang w:eastAsia="en-US"/>
        </w:rPr>
        <w:t xml:space="preserve">Стомлення </w:t>
      </w:r>
      <w:r w:rsidR="00535AFD" w:rsidRPr="00CC273C">
        <w:rPr>
          <w:rFonts w:ascii="Georgia" w:hAnsi="Georgia"/>
          <w:color w:val="00B050"/>
          <w:sz w:val="32"/>
        </w:rPr>
        <w:t xml:space="preserve">– </w:t>
      </w:r>
      <w:r w:rsidR="00AB2275" w:rsidRPr="00AB2275">
        <w:rPr>
          <w:rFonts w:ascii="Georgia" w:hAnsi="Georgia"/>
          <w:sz w:val="28"/>
        </w:rPr>
        <w:t>тимчасове зниження працездатності, викликане попередньою діяльністю.</w:t>
      </w:r>
    </w:p>
    <w:p w:rsidR="0055453A" w:rsidRPr="0055453A" w:rsidRDefault="000A60D3" w:rsidP="0055453A">
      <w:pPr>
        <w:pStyle w:val="a4"/>
        <w:numPr>
          <w:ilvl w:val="0"/>
          <w:numId w:val="2"/>
        </w:numPr>
        <w:spacing w:before="48" w:after="0"/>
        <w:ind w:right="-36"/>
        <w:jc w:val="both"/>
        <w:rPr>
          <w:rFonts w:ascii="Georgia" w:hAnsi="Georgia"/>
          <w:sz w:val="28"/>
        </w:rPr>
      </w:pPr>
      <w:r>
        <w:rPr>
          <w:rFonts w:ascii="Georgia" w:hAnsi="Georgia"/>
          <w:color w:val="00B050"/>
          <w:sz w:val="32"/>
        </w:rPr>
        <w:tab/>
      </w:r>
      <w:r w:rsidR="0055453A" w:rsidRPr="0055453A">
        <w:rPr>
          <w:rFonts w:ascii="Georgia" w:hAnsi="Georgia"/>
          <w:color w:val="00B050"/>
          <w:sz w:val="32"/>
        </w:rPr>
        <w:t xml:space="preserve">Відновлення </w:t>
      </w:r>
      <w:r w:rsidR="00535AFD" w:rsidRPr="00CC273C">
        <w:rPr>
          <w:rFonts w:ascii="Georgia" w:hAnsi="Georgia"/>
          <w:color w:val="00B050"/>
          <w:sz w:val="32"/>
        </w:rPr>
        <w:t xml:space="preserve">– </w:t>
      </w:r>
      <w:r w:rsidR="0055453A" w:rsidRPr="00182524">
        <w:rPr>
          <w:rFonts w:ascii="Georgia" w:hAnsi="Georgia"/>
          <w:sz w:val="28"/>
        </w:rPr>
        <w:t>процес повернення показників гомеостазу і структурних елементів, організму до вихідного стану після припинення роботи, протягом якого усуваються продукти інтенсивного обміну речовин</w:t>
      </w:r>
      <w:r w:rsidR="0055453A" w:rsidRPr="00182524">
        <w:rPr>
          <w:rFonts w:ascii="Georgia" w:hAnsi="Georgia"/>
          <w:sz w:val="28"/>
          <w:lang w:val="ru-RU"/>
        </w:rPr>
        <w:t>.</w:t>
      </w:r>
      <w:r w:rsidR="0055453A" w:rsidRPr="00182524">
        <w:rPr>
          <w:rFonts w:ascii="Georgia" w:hAnsi="Georgia"/>
          <w:sz w:val="28"/>
        </w:rPr>
        <w:t xml:space="preserve"> </w:t>
      </w:r>
    </w:p>
    <w:p w:rsidR="00CC273C" w:rsidRPr="00CC273C" w:rsidRDefault="00CC273C" w:rsidP="000A60D3">
      <w:pPr>
        <w:pStyle w:val="a4"/>
        <w:numPr>
          <w:ilvl w:val="0"/>
          <w:numId w:val="2"/>
        </w:numPr>
        <w:spacing w:before="48" w:after="0"/>
        <w:ind w:left="851" w:right="-36"/>
        <w:jc w:val="both"/>
        <w:rPr>
          <w:rFonts w:ascii="Georgia" w:hAnsi="Georgia"/>
          <w:sz w:val="28"/>
        </w:rPr>
      </w:pPr>
      <w:r w:rsidRPr="00CC273C">
        <w:rPr>
          <w:rFonts w:ascii="Georgia" w:hAnsi="Georgia"/>
          <w:color w:val="00B050"/>
          <w:sz w:val="32"/>
        </w:rPr>
        <w:t xml:space="preserve">Тепловий удар – </w:t>
      </w:r>
      <w:r w:rsidRPr="00CC273C">
        <w:rPr>
          <w:rFonts w:ascii="Georgia" w:hAnsi="Georgia"/>
          <w:sz w:val="28"/>
        </w:rPr>
        <w:t>це небезпечний для життя стан, який виникає при дії на тіло людини підвищеної температури, в умовах підвищеної вологості, обезводнення і порушення процесу терморегуляції організму</w:t>
      </w:r>
      <w:r w:rsidRPr="00CC273C">
        <w:rPr>
          <w:rFonts w:ascii="Georgia" w:hAnsi="Georgia"/>
          <w:sz w:val="28"/>
          <w:lang w:val="ru-RU"/>
        </w:rPr>
        <w:t>.</w:t>
      </w:r>
      <w:r w:rsidRPr="00CC273C">
        <w:rPr>
          <w:rFonts w:ascii="Georgia" w:hAnsi="Georgia"/>
          <w:sz w:val="28"/>
        </w:rPr>
        <w:t xml:space="preserve"> </w:t>
      </w:r>
    </w:p>
    <w:p w:rsidR="0065048B" w:rsidRPr="0065048B" w:rsidRDefault="0065048B" w:rsidP="0065048B">
      <w:pPr>
        <w:pStyle w:val="a4"/>
        <w:numPr>
          <w:ilvl w:val="0"/>
          <w:numId w:val="2"/>
        </w:numPr>
        <w:spacing w:before="48" w:after="0"/>
        <w:ind w:right="106"/>
        <w:jc w:val="both"/>
        <w:rPr>
          <w:rFonts w:ascii="Georgia" w:hAnsi="Georgia"/>
          <w:sz w:val="28"/>
        </w:rPr>
      </w:pPr>
      <w:r w:rsidRPr="0065048B">
        <w:rPr>
          <w:rFonts w:ascii="Georgia" w:hAnsi="Georgia"/>
          <w:color w:val="00B050"/>
          <w:sz w:val="32"/>
        </w:rPr>
        <w:t xml:space="preserve">Нетоксичні речовини </w:t>
      </w:r>
      <w:r w:rsidRPr="0065048B">
        <w:rPr>
          <w:rFonts w:ascii="Georgia" w:hAnsi="Georgia"/>
          <w:sz w:val="28"/>
        </w:rPr>
        <w:t>призводять до роздратування слизових оболонок дихальних шляхів, шкіри, очей. Так, дія нетоксичного пилу проявляється в порушенні життєдіяльності верхніх дихальних шляхів, легенів, шкіри, очей.</w:t>
      </w:r>
    </w:p>
    <w:p w:rsidR="005A30C1" w:rsidRPr="005A30C1" w:rsidRDefault="005A30C1" w:rsidP="005A30C1">
      <w:pPr>
        <w:pStyle w:val="a4"/>
        <w:numPr>
          <w:ilvl w:val="0"/>
          <w:numId w:val="2"/>
        </w:numPr>
        <w:spacing w:before="48" w:after="0"/>
        <w:ind w:right="106"/>
        <w:jc w:val="both"/>
        <w:rPr>
          <w:rFonts w:ascii="Georgia" w:hAnsi="Georgia"/>
          <w:sz w:val="28"/>
        </w:rPr>
      </w:pPr>
      <w:r w:rsidRPr="005A30C1">
        <w:rPr>
          <w:rFonts w:ascii="Georgia" w:hAnsi="Georgia"/>
          <w:color w:val="00B050"/>
          <w:sz w:val="32"/>
        </w:rPr>
        <w:lastRenderedPageBreak/>
        <w:t xml:space="preserve">Токсичні речовини, </w:t>
      </w:r>
      <w:r w:rsidRPr="005A30C1">
        <w:rPr>
          <w:rFonts w:ascii="Georgia" w:hAnsi="Georgia"/>
          <w:sz w:val="28"/>
        </w:rPr>
        <w:t>добре розчиняючись у біологічних середовищах здатні вступати з ними у взаємодію, викликаючи порушення нормальної життєдіяльності – отруєння. Шкода від отруєння залежить перш за все від тривалості дії, концентрації та виду речовини.</w:t>
      </w:r>
    </w:p>
    <w:p w:rsidR="00D4664F" w:rsidRPr="00D4664F" w:rsidRDefault="00D4664F" w:rsidP="00D4664F">
      <w:pPr>
        <w:pStyle w:val="a3"/>
        <w:numPr>
          <w:ilvl w:val="0"/>
          <w:numId w:val="2"/>
        </w:numPr>
        <w:spacing w:before="240"/>
        <w:ind w:right="106"/>
        <w:jc w:val="both"/>
        <w:rPr>
          <w:rFonts w:ascii="Georgia" w:hAnsi="Georgia"/>
          <w:color w:val="000000"/>
          <w:sz w:val="28"/>
          <w:szCs w:val="28"/>
        </w:rPr>
      </w:pPr>
      <w:r w:rsidRPr="00D4664F">
        <w:rPr>
          <w:rFonts w:ascii="Georgia" w:eastAsia="Times New Roman" w:hAnsi="Georgia" w:cs="Times New Roman"/>
          <w:color w:val="00B050"/>
          <w:sz w:val="32"/>
          <w:szCs w:val="24"/>
          <w:lang w:eastAsia="uk-UA"/>
        </w:rPr>
        <w:t xml:space="preserve">Гігієнічне нормування </w:t>
      </w:r>
      <w:r w:rsidRPr="00D4664F">
        <w:rPr>
          <w:rFonts w:ascii="Georgia" w:eastAsia="Times New Roman" w:hAnsi="Georgia" w:cs="Times New Roman"/>
          <w:sz w:val="28"/>
          <w:szCs w:val="24"/>
          <w:lang w:eastAsia="uk-UA"/>
        </w:rPr>
        <w:t>вмісту шкідливих речовин у повітрі робочої зони проводять за гранично допустимими концентраціями (ГДК). ГДК – це концентрація, що при щоденній (крім вихідних днів) роботі впродовж 8 годин. чи при іншій тривалості, але не більше 41 години на тиждень, протягом усього терміну роботи працівника не може викликати захворювань або відхилень стану здоров'я, що виявляються сучасними методами досліджень у процесі роботи чи у віддалений період життя сучасного і наступних поколінь.</w:t>
      </w:r>
    </w:p>
    <w:p w:rsidR="004648D4" w:rsidRPr="004648D4" w:rsidRDefault="004648D4" w:rsidP="004648D4">
      <w:pPr>
        <w:pStyle w:val="a3"/>
        <w:numPr>
          <w:ilvl w:val="0"/>
          <w:numId w:val="2"/>
        </w:numPr>
        <w:spacing w:before="48" w:after="0" w:line="240" w:lineRule="auto"/>
        <w:ind w:right="106"/>
        <w:jc w:val="both"/>
        <w:rPr>
          <w:rFonts w:ascii="Georgia" w:eastAsia="Times New Roman" w:hAnsi="Georgia" w:cs="Times New Roman"/>
          <w:bCs/>
          <w:iCs/>
          <w:color w:val="000000"/>
          <w:sz w:val="28"/>
          <w:szCs w:val="28"/>
          <w:lang w:eastAsia="ru-RU"/>
        </w:rPr>
      </w:pPr>
      <w:r w:rsidRPr="004648D4">
        <w:rPr>
          <w:rFonts w:ascii="Georgia" w:hAnsi="Georgia"/>
          <w:bCs/>
          <w:iCs/>
          <w:color w:val="00B050"/>
          <w:sz w:val="32"/>
          <w:szCs w:val="28"/>
        </w:rPr>
        <w:t xml:space="preserve">Засіб індивідуального захисту (3І3) </w:t>
      </w:r>
      <w:r w:rsidR="00E62B86" w:rsidRPr="004153AE">
        <w:rPr>
          <w:rFonts w:ascii="Georgia" w:hAnsi="Georgia"/>
          <w:bCs/>
          <w:iCs/>
          <w:color w:val="00B050"/>
          <w:sz w:val="32"/>
          <w:szCs w:val="28"/>
        </w:rPr>
        <w:t xml:space="preserve">— </w:t>
      </w:r>
      <w:r w:rsidRPr="004648D4">
        <w:rPr>
          <w:rFonts w:ascii="Georgia" w:hAnsi="Georgia"/>
          <w:bCs/>
          <w:iCs/>
          <w:sz w:val="28"/>
          <w:szCs w:val="28"/>
        </w:rPr>
        <w:t>це засіб захисту, що одягається на тіло працівника (або його частину) або використовується під час праці. 313 застосовують тоді, коли безпека робіт не може бути забезпечена конструкцією та розміщенням устаткування, організацією виробничих процесів, архітектурно-планувальними рішеннями та іншими засобами колективного захисту.</w:t>
      </w:r>
    </w:p>
    <w:p w:rsidR="00700673" w:rsidRPr="00700673" w:rsidRDefault="00700673" w:rsidP="00700673">
      <w:pPr>
        <w:pStyle w:val="a3"/>
        <w:numPr>
          <w:ilvl w:val="0"/>
          <w:numId w:val="2"/>
        </w:numPr>
        <w:spacing w:before="48" w:after="0" w:line="240" w:lineRule="auto"/>
        <w:ind w:right="106"/>
        <w:jc w:val="both"/>
        <w:rPr>
          <w:rFonts w:ascii="Georgia" w:eastAsia="Times New Roman" w:hAnsi="Georgia" w:cs="Times New Roman"/>
          <w:b/>
          <w:bCs/>
          <w:i/>
          <w:iCs/>
          <w:color w:val="000000"/>
          <w:sz w:val="28"/>
          <w:szCs w:val="28"/>
          <w:lang w:eastAsia="ru-RU"/>
        </w:rPr>
      </w:pPr>
      <w:r>
        <w:rPr>
          <w:rFonts w:ascii="Georgia" w:hAnsi="Georgia"/>
          <w:bCs/>
          <w:iCs/>
          <w:color w:val="00B050"/>
          <w:sz w:val="32"/>
          <w:szCs w:val="28"/>
        </w:rPr>
        <w:t xml:space="preserve">Вентиляцією </w:t>
      </w:r>
      <w:r w:rsidR="00E62B86" w:rsidRPr="004153AE">
        <w:rPr>
          <w:rFonts w:ascii="Georgia" w:hAnsi="Georgia"/>
          <w:bCs/>
          <w:iCs/>
          <w:color w:val="00B050"/>
          <w:sz w:val="32"/>
          <w:szCs w:val="28"/>
        </w:rPr>
        <w:t xml:space="preserve">— </w:t>
      </w:r>
      <w:r w:rsidRPr="00700673">
        <w:rPr>
          <w:rFonts w:ascii="Georgia" w:hAnsi="Georgia"/>
          <w:bCs/>
          <w:iCs/>
          <w:sz w:val="28"/>
          <w:szCs w:val="28"/>
        </w:rPr>
        <w:t>сукупність заходів та засобів, призначених для забезпечення на постійних робочих місцях та зонах обслуговування виробничих приміщень метеорологічних умов та чистоти повітряного середовища, що відповідають гігієнічним та технічним вимогам. Основне завдання вентиляції - вилучити із приміщення забруднене, вологе або нагріте повітря та подати чисте і свіже.</w:t>
      </w:r>
    </w:p>
    <w:p w:rsidR="004153AE" w:rsidRPr="004153AE" w:rsidRDefault="004153AE" w:rsidP="004153AE">
      <w:pPr>
        <w:pStyle w:val="a3"/>
        <w:numPr>
          <w:ilvl w:val="0"/>
          <w:numId w:val="2"/>
        </w:numPr>
        <w:spacing w:before="48" w:after="0" w:line="240" w:lineRule="auto"/>
        <w:ind w:right="106"/>
        <w:jc w:val="both"/>
        <w:rPr>
          <w:rFonts w:ascii="Georgia" w:eastAsia="Times New Roman" w:hAnsi="Georgia" w:cs="Times New Roman"/>
          <w:bCs/>
          <w:iCs/>
          <w:color w:val="000000"/>
          <w:sz w:val="28"/>
          <w:szCs w:val="28"/>
          <w:lang w:eastAsia="ru-RU"/>
        </w:rPr>
      </w:pPr>
      <w:r>
        <w:rPr>
          <w:rFonts w:ascii="Georgia" w:hAnsi="Georgia"/>
          <w:bCs/>
          <w:iCs/>
          <w:color w:val="00B050"/>
          <w:sz w:val="32"/>
          <w:szCs w:val="28"/>
        </w:rPr>
        <w:t>Сила світла</w:t>
      </w:r>
      <w:r w:rsidRPr="004153AE">
        <w:rPr>
          <w:rFonts w:ascii="Georgia" w:hAnsi="Georgia"/>
          <w:bCs/>
          <w:iCs/>
          <w:color w:val="00B050"/>
          <w:sz w:val="32"/>
          <w:szCs w:val="28"/>
        </w:rPr>
        <w:t xml:space="preserve"> — </w:t>
      </w:r>
      <w:r w:rsidRPr="004153AE">
        <w:rPr>
          <w:rFonts w:ascii="Georgia" w:hAnsi="Georgia"/>
          <w:bCs/>
          <w:iCs/>
          <w:sz w:val="28"/>
          <w:szCs w:val="28"/>
        </w:rPr>
        <w:t>відношення світлового потоку, до тілесного кута, в межах якого проходить цей потік. Одиниця вимірювання СІ: кандела (кд).</w:t>
      </w:r>
    </w:p>
    <w:p w:rsidR="00B076D0" w:rsidRPr="00FD1269" w:rsidRDefault="00B076D0" w:rsidP="00B076D0">
      <w:pPr>
        <w:pStyle w:val="a3"/>
        <w:numPr>
          <w:ilvl w:val="0"/>
          <w:numId w:val="2"/>
        </w:numPr>
        <w:spacing w:before="48" w:after="0" w:line="240" w:lineRule="auto"/>
        <w:ind w:right="106"/>
        <w:jc w:val="both"/>
        <w:rPr>
          <w:rFonts w:ascii="Georgia" w:eastAsia="Times New Roman" w:hAnsi="Georgia" w:cs="Times New Roman"/>
          <w:bCs/>
          <w:iCs/>
          <w:color w:val="000000"/>
          <w:sz w:val="28"/>
          <w:szCs w:val="28"/>
          <w:lang w:eastAsia="ru-RU"/>
        </w:rPr>
      </w:pPr>
      <w:r>
        <w:rPr>
          <w:rFonts w:ascii="Georgia" w:hAnsi="Georgia"/>
          <w:bCs/>
          <w:iCs/>
          <w:color w:val="00B050"/>
          <w:sz w:val="32"/>
          <w:szCs w:val="28"/>
        </w:rPr>
        <w:t>Світловий потік</w:t>
      </w:r>
      <w:r w:rsidRPr="00B076D0">
        <w:rPr>
          <w:rFonts w:ascii="Georgia" w:hAnsi="Georgia"/>
          <w:bCs/>
          <w:iCs/>
          <w:color w:val="00B050"/>
          <w:sz w:val="32"/>
          <w:szCs w:val="28"/>
        </w:rPr>
        <w:t xml:space="preserve"> — </w:t>
      </w:r>
      <w:r w:rsidRPr="00B076D0">
        <w:rPr>
          <w:rFonts w:ascii="Georgia" w:hAnsi="Georgia"/>
          <w:bCs/>
          <w:iCs/>
          <w:sz w:val="28"/>
          <w:szCs w:val="28"/>
        </w:rPr>
        <w:t>кількісна характеристика випромінювання, яке випромінюється джерелом світла. Одиниця вимірювання СІ: люмен.</w:t>
      </w:r>
    </w:p>
    <w:p w:rsidR="00FD1269" w:rsidRDefault="00FD1269" w:rsidP="00FD1269">
      <w:pPr>
        <w:pStyle w:val="a3"/>
        <w:numPr>
          <w:ilvl w:val="0"/>
          <w:numId w:val="2"/>
        </w:numPr>
        <w:spacing w:before="48" w:after="0" w:line="240" w:lineRule="auto"/>
        <w:ind w:right="106"/>
        <w:jc w:val="both"/>
        <w:rPr>
          <w:rFonts w:ascii="Georgia" w:eastAsia="Times New Roman" w:hAnsi="Georgia" w:cs="Times New Roman"/>
          <w:bCs/>
          <w:iCs/>
          <w:color w:val="000000"/>
          <w:sz w:val="28"/>
          <w:szCs w:val="28"/>
          <w:lang w:eastAsia="ru-RU"/>
        </w:rPr>
      </w:pPr>
      <w:r>
        <w:rPr>
          <w:rFonts w:ascii="Georgia" w:hAnsi="Georgia"/>
          <w:bCs/>
          <w:iCs/>
          <w:color w:val="00B050"/>
          <w:sz w:val="32"/>
          <w:szCs w:val="28"/>
        </w:rPr>
        <w:t>Осві</w:t>
      </w:r>
      <w:r w:rsidRPr="00FD1269">
        <w:rPr>
          <w:rFonts w:ascii="Georgia" w:hAnsi="Georgia"/>
          <w:bCs/>
          <w:iCs/>
          <w:color w:val="00B050"/>
          <w:sz w:val="32"/>
          <w:szCs w:val="28"/>
        </w:rPr>
        <w:t>тленість</w:t>
      </w:r>
      <w:r w:rsidRPr="00FD1269">
        <w:rPr>
          <w:rFonts w:ascii="Georgia" w:eastAsia="Times New Roman" w:hAnsi="Georgia" w:cs="Times New Roman"/>
          <w:bCs/>
          <w:iCs/>
          <w:color w:val="000000"/>
          <w:sz w:val="28"/>
          <w:szCs w:val="28"/>
          <w:lang w:eastAsia="ru-RU"/>
        </w:rPr>
        <w:t xml:space="preserve"> — освітлення поверхні, що створюється світловим потоком, який падає на поверхню. Одиницею вимірювання освітленості є люкс. На відміну від освітленості, вираз кількості світла, відображеного поверхнею, називається яскравістю. Освітленість прямо пропорційна силі світла джерела світла.</w:t>
      </w:r>
    </w:p>
    <w:p w:rsidR="00684D5C" w:rsidRDefault="00684D5C" w:rsidP="00684D5C">
      <w:pPr>
        <w:pStyle w:val="a3"/>
        <w:numPr>
          <w:ilvl w:val="0"/>
          <w:numId w:val="2"/>
        </w:numPr>
        <w:spacing w:before="48" w:after="0" w:line="240" w:lineRule="auto"/>
        <w:ind w:right="106"/>
        <w:jc w:val="both"/>
        <w:rPr>
          <w:rFonts w:ascii="Georgia" w:eastAsia="Times New Roman" w:hAnsi="Georgia" w:cs="Times New Roman"/>
          <w:bCs/>
          <w:iCs/>
          <w:color w:val="000000"/>
          <w:sz w:val="28"/>
          <w:szCs w:val="28"/>
          <w:lang w:eastAsia="ru-RU"/>
        </w:rPr>
      </w:pPr>
      <w:r w:rsidRPr="00D03A47">
        <w:rPr>
          <w:rFonts w:ascii="Georgia" w:hAnsi="Georgia"/>
          <w:bCs/>
          <w:iCs/>
          <w:color w:val="00B050"/>
          <w:sz w:val="32"/>
          <w:szCs w:val="28"/>
        </w:rPr>
        <w:t>Яскравість</w:t>
      </w:r>
      <w:r w:rsidRPr="00684D5C">
        <w:rPr>
          <w:rFonts w:ascii="Georgia" w:eastAsia="Times New Roman" w:hAnsi="Georgia" w:cs="Times New Roman"/>
          <w:bCs/>
          <w:iCs/>
          <w:color w:val="000000"/>
          <w:sz w:val="28"/>
          <w:szCs w:val="28"/>
          <w:lang w:eastAsia="ru-RU"/>
        </w:rPr>
        <w:t xml:space="preserve"> — це характеристика візуального кольоросприйняття джерела, здатного випромінювати або відбивати світло. Іншими словами, яскравість є суб'єктивним атрибутом сприйняття властивостей об'єкта, отриманих завдяки</w:t>
      </w:r>
      <w:r>
        <w:rPr>
          <w:rFonts w:ascii="Georgia" w:eastAsia="Times New Roman" w:hAnsi="Georgia" w:cs="Times New Roman"/>
          <w:bCs/>
          <w:iCs/>
          <w:color w:val="000000"/>
          <w:sz w:val="28"/>
          <w:szCs w:val="28"/>
          <w:lang w:eastAsia="ru-RU"/>
        </w:rPr>
        <w:t xml:space="preserve"> </w:t>
      </w:r>
      <w:r w:rsidRPr="00684D5C">
        <w:rPr>
          <w:rFonts w:ascii="Georgia" w:eastAsia="Times New Roman" w:hAnsi="Georgia" w:cs="Times New Roman"/>
          <w:bCs/>
          <w:iCs/>
          <w:color w:val="000000"/>
          <w:sz w:val="28"/>
          <w:szCs w:val="28"/>
          <w:lang w:eastAsia="ru-RU"/>
        </w:rPr>
        <w:t>яскравості освітленої або відображеної мішені.</w:t>
      </w:r>
    </w:p>
    <w:p w:rsidR="00B60F25" w:rsidRPr="009B7C51" w:rsidRDefault="00B60F25" w:rsidP="00CE02F4">
      <w:pPr>
        <w:pStyle w:val="a3"/>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ru-RU"/>
        </w:rPr>
      </w:pPr>
      <w:r>
        <w:rPr>
          <w:rFonts w:ascii="Georgia" w:hAnsi="Georgia"/>
          <w:bCs/>
          <w:iCs/>
          <w:color w:val="00B050"/>
          <w:sz w:val="32"/>
          <w:szCs w:val="28"/>
        </w:rPr>
        <w:t>Контра</w:t>
      </w:r>
      <w:r w:rsidRPr="00B60F25">
        <w:rPr>
          <w:rFonts w:ascii="Georgia" w:hAnsi="Georgia"/>
          <w:bCs/>
          <w:iCs/>
          <w:color w:val="00B050"/>
          <w:sz w:val="32"/>
          <w:szCs w:val="28"/>
        </w:rPr>
        <w:t>ст</w:t>
      </w:r>
      <w:r w:rsidRPr="00B60F25">
        <w:rPr>
          <w:rFonts w:ascii="Times New Roman" w:eastAsia="Times New Roman" w:hAnsi="Times New Roman" w:cs="Times New Roman"/>
          <w:color w:val="222222"/>
          <w:sz w:val="24"/>
          <w:szCs w:val="24"/>
          <w:lang w:eastAsia="ru-RU"/>
        </w:rPr>
        <w:t xml:space="preserve"> — </w:t>
      </w:r>
      <w:r w:rsidRPr="00B60F25">
        <w:rPr>
          <w:rFonts w:ascii="Georgia" w:eastAsia="Times New Roman" w:hAnsi="Georgia" w:cs="Times New Roman"/>
          <w:bCs/>
          <w:iCs/>
          <w:color w:val="000000"/>
          <w:sz w:val="28"/>
          <w:szCs w:val="28"/>
          <w:lang w:eastAsia="ru-RU"/>
        </w:rPr>
        <w:t>міра виявлення (і, отже, розпізнавання) об'єкта на якому-небудь тлі. Розрахувати контраст можна, якщо відома </w:t>
      </w:r>
      <w:hyperlink r:id="rId5" w:tooltip="Яскравість" w:history="1">
        <w:r w:rsidRPr="00B60F25">
          <w:rPr>
            <w:rFonts w:ascii="Georgia" w:eastAsia="Times New Roman" w:hAnsi="Georgia" w:cs="Times New Roman"/>
            <w:bCs/>
            <w:iCs/>
            <w:color w:val="000000"/>
            <w:sz w:val="28"/>
            <w:szCs w:val="28"/>
            <w:lang w:eastAsia="ru-RU"/>
          </w:rPr>
          <w:t>яскравість</w:t>
        </w:r>
      </w:hyperlink>
      <w:r w:rsidRPr="00B60F25">
        <w:rPr>
          <w:rFonts w:ascii="Georgia" w:eastAsia="Times New Roman" w:hAnsi="Georgia" w:cs="Times New Roman"/>
          <w:bCs/>
          <w:iCs/>
          <w:color w:val="000000"/>
          <w:sz w:val="28"/>
          <w:szCs w:val="28"/>
          <w:lang w:eastAsia="ru-RU"/>
        </w:rPr>
        <w:t> об'єкта і фону, на якому ми спостерігаємо об'єкт:</w:t>
      </w:r>
    </w:p>
    <w:p w:rsidR="009B7C51" w:rsidRPr="00B60F25" w:rsidRDefault="009B7C51" w:rsidP="003C0761">
      <w:pPr>
        <w:pStyle w:val="a3"/>
        <w:shd w:val="clear" w:color="auto" w:fill="FFFFFF"/>
        <w:spacing w:before="120" w:after="120" w:line="240" w:lineRule="auto"/>
        <w:rPr>
          <w:rFonts w:ascii="Times New Roman" w:eastAsia="Times New Roman" w:hAnsi="Times New Roman" w:cs="Times New Roman"/>
          <w:color w:val="222222"/>
          <w:sz w:val="24"/>
          <w:szCs w:val="24"/>
          <w:lang w:eastAsia="ru-RU"/>
        </w:rPr>
      </w:pPr>
    </w:p>
    <w:p w:rsidR="00B60F25" w:rsidRPr="00B155C8" w:rsidRDefault="00B60F25" w:rsidP="00B155C8">
      <w:pPr>
        <w:pStyle w:val="a3"/>
        <w:shd w:val="clear" w:color="auto" w:fill="FFFFFF"/>
        <w:spacing w:before="120" w:after="120" w:line="240" w:lineRule="auto"/>
        <w:jc w:val="center"/>
        <w:rPr>
          <w:rFonts w:ascii="Georgia" w:eastAsia="Times New Roman" w:hAnsi="Georgia" w:cs="Times New Roman"/>
          <w:bCs/>
          <w:iCs/>
          <w:color w:val="000000"/>
          <w:sz w:val="28"/>
          <w:szCs w:val="28"/>
          <w:lang w:eastAsia="ru-RU"/>
        </w:rPr>
      </w:pPr>
      <w:r w:rsidRPr="00B155C8">
        <w:rPr>
          <w:rFonts w:ascii="Georgia" w:eastAsia="Times New Roman" w:hAnsi="Georgia" w:cs="Times New Roman"/>
          <w:bCs/>
          <w:iCs/>
          <w:color w:val="000000"/>
          <w:sz w:val="28"/>
          <w:szCs w:val="28"/>
          <w:lang w:eastAsia="ru-RU"/>
        </w:rPr>
        <w:t>C=(Lо-Lф)/Lф,</w:t>
      </w:r>
    </w:p>
    <w:p w:rsidR="00B60F25" w:rsidRDefault="00B155C8" w:rsidP="00B155C8">
      <w:pPr>
        <w:pStyle w:val="a3"/>
        <w:shd w:val="clear" w:color="auto" w:fill="FFFFFF"/>
        <w:spacing w:before="120" w:after="120" w:line="240" w:lineRule="auto"/>
        <w:rPr>
          <w:rFonts w:ascii="Georgia" w:eastAsia="Times New Roman" w:hAnsi="Georgia" w:cs="Times New Roman"/>
          <w:bCs/>
          <w:iCs/>
          <w:color w:val="000000"/>
          <w:sz w:val="28"/>
          <w:szCs w:val="28"/>
          <w:lang w:eastAsia="ru-RU"/>
        </w:rPr>
      </w:pPr>
      <w:r>
        <w:rPr>
          <w:rFonts w:ascii="Georgia" w:eastAsia="Times New Roman" w:hAnsi="Georgia" w:cs="Times New Roman"/>
          <w:bCs/>
          <w:iCs/>
          <w:color w:val="000000"/>
          <w:sz w:val="28"/>
          <w:szCs w:val="28"/>
          <w:lang w:eastAsia="ru-RU"/>
        </w:rPr>
        <w:tab/>
      </w:r>
      <w:r w:rsidR="00B60F25" w:rsidRPr="00B155C8">
        <w:rPr>
          <w:rFonts w:ascii="Georgia" w:eastAsia="Times New Roman" w:hAnsi="Georgia" w:cs="Times New Roman"/>
          <w:bCs/>
          <w:iCs/>
          <w:color w:val="000000"/>
          <w:sz w:val="28"/>
          <w:szCs w:val="28"/>
          <w:lang w:eastAsia="ru-RU"/>
        </w:rPr>
        <w:t>де: Lо — яскравість об'єкта; Lф — яскравість фону.</w:t>
      </w:r>
    </w:p>
    <w:p w:rsidR="003C0761" w:rsidRDefault="003C0761" w:rsidP="003C0761">
      <w:pPr>
        <w:shd w:val="clear" w:color="auto" w:fill="FFFFFF"/>
        <w:spacing w:before="120" w:after="120" w:line="240" w:lineRule="auto"/>
        <w:ind w:left="720"/>
        <w:rPr>
          <w:rFonts w:ascii="Georgia" w:eastAsia="Times New Roman" w:hAnsi="Georgia" w:cs="Times New Roman"/>
          <w:bCs/>
          <w:iCs/>
          <w:color w:val="000000"/>
          <w:sz w:val="28"/>
          <w:szCs w:val="28"/>
          <w:lang w:eastAsia="ru-RU"/>
        </w:rPr>
      </w:pPr>
    </w:p>
    <w:p w:rsidR="003C0761" w:rsidRDefault="003C0761" w:rsidP="00CE02F4">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0A0ADB">
        <w:rPr>
          <w:rFonts w:ascii="Georgia" w:hAnsi="Georgia"/>
          <w:bCs/>
          <w:iCs/>
          <w:color w:val="00B050"/>
          <w:sz w:val="32"/>
          <w:szCs w:val="28"/>
        </w:rPr>
        <w:t>Видимість, дальність видимості</w:t>
      </w:r>
      <w:r w:rsidRPr="003C0761">
        <w:rPr>
          <w:rFonts w:ascii="Georgia" w:eastAsia="Times New Roman" w:hAnsi="Georgia" w:cs="Times New Roman"/>
          <w:bCs/>
          <w:iCs/>
          <w:color w:val="000000"/>
          <w:sz w:val="28"/>
          <w:szCs w:val="28"/>
          <w:lang w:eastAsia="ru-RU"/>
        </w:rPr>
        <w:t xml:space="preserve"> — метеорологічний показник , відстань на яку вдень обриси предметів, за якими спостерігають, стають нечіткими.</w:t>
      </w:r>
    </w:p>
    <w:p w:rsidR="00662BF6" w:rsidRDefault="00662BF6" w:rsidP="00CE02F4">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096200">
        <w:rPr>
          <w:rFonts w:ascii="Georgia" w:hAnsi="Georgia"/>
          <w:bCs/>
          <w:iCs/>
          <w:color w:val="00B050"/>
          <w:sz w:val="32"/>
          <w:szCs w:val="28"/>
        </w:rPr>
        <w:lastRenderedPageBreak/>
        <w:t>Природне освітлення</w:t>
      </w:r>
      <w:r w:rsidRPr="00662BF6">
        <w:rPr>
          <w:rFonts w:ascii="Georgia" w:eastAsia="Times New Roman" w:hAnsi="Georgia" w:cs="Times New Roman"/>
          <w:bCs/>
          <w:iCs/>
          <w:color w:val="000000"/>
          <w:sz w:val="28"/>
          <w:szCs w:val="28"/>
          <w:lang w:eastAsia="ru-RU"/>
        </w:rPr>
        <w:t xml:space="preserve"> — це освітлення приміщень світлом неба (природним або денним світлом) та сонячними променями, які проникають крізь світлові отвори в зовнішніх огороджувальних конструкціях.</w:t>
      </w:r>
    </w:p>
    <w:p w:rsidR="00F85CD0" w:rsidRDefault="00F85CD0" w:rsidP="00CE02F4">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F85CD0">
        <w:rPr>
          <w:rFonts w:ascii="Georgia" w:hAnsi="Georgia"/>
          <w:bCs/>
          <w:iCs/>
          <w:color w:val="00B050"/>
          <w:sz w:val="32"/>
          <w:szCs w:val="28"/>
        </w:rPr>
        <w:t>Штучне освітлення</w:t>
      </w:r>
      <w:r w:rsidRPr="00F85CD0">
        <w:rPr>
          <w:rFonts w:ascii="Georgia" w:eastAsia="Times New Roman" w:hAnsi="Georgia" w:cs="Times New Roman"/>
          <w:bCs/>
          <w:iCs/>
          <w:color w:val="000000"/>
          <w:sz w:val="28"/>
          <w:szCs w:val="28"/>
          <w:lang w:eastAsia="ru-RU"/>
        </w:rPr>
        <w:t xml:space="preserve"> — це освітлення будинків, приміщень і споруд, зовнішнього освітлення міст, селищ і сільських населених пунктів, територій підприємств і закладів, установки оздоровчого ультрафіолетового випромінювання тривалої дії, установки світлової реклами, світлові знаки та ілюмінаційні установки за допомогою спеціальних електроосвітлювальних установок — світильників.</w:t>
      </w:r>
    </w:p>
    <w:p w:rsidR="005E265A" w:rsidRDefault="005E265A" w:rsidP="00CE02F4">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5E265A">
        <w:rPr>
          <w:rFonts w:ascii="Georgia" w:hAnsi="Georgia"/>
          <w:bCs/>
          <w:iCs/>
          <w:color w:val="00B050"/>
          <w:sz w:val="32"/>
          <w:szCs w:val="28"/>
        </w:rPr>
        <w:t>Світильник</w:t>
      </w:r>
      <w:r w:rsidRPr="005E265A">
        <w:rPr>
          <w:rFonts w:ascii="Georgia" w:eastAsia="Times New Roman" w:hAnsi="Georgia" w:cs="Times New Roman"/>
          <w:bCs/>
          <w:iCs/>
          <w:color w:val="000000"/>
          <w:sz w:val="28"/>
          <w:szCs w:val="28"/>
          <w:lang w:eastAsia="ru-RU"/>
        </w:rPr>
        <w:t xml:space="preserve"> — це світловий прилад, що скла дасться із джерела світла(лампи)та освітлювальної арматури. Освітлювальна арматура перерозподіляє світловий потік лампи у просторі або перетворює його властивості (змінює спектральний склад випромінювання), захищає очі працівника від засліплюючої дії ламп.</w:t>
      </w:r>
    </w:p>
    <w:p w:rsidR="005E265A" w:rsidRDefault="005E265A" w:rsidP="00CE02F4">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5E265A">
        <w:rPr>
          <w:rFonts w:ascii="Georgia" w:hAnsi="Georgia"/>
          <w:bCs/>
          <w:iCs/>
          <w:color w:val="00B050"/>
          <w:sz w:val="32"/>
          <w:szCs w:val="28"/>
        </w:rPr>
        <w:t>Шум</w:t>
      </w:r>
      <w:r w:rsidRPr="005E265A">
        <w:rPr>
          <w:rFonts w:ascii="Georgia" w:eastAsia="Times New Roman" w:hAnsi="Georgia" w:cs="Times New Roman"/>
          <w:bCs/>
          <w:iCs/>
          <w:color w:val="000000"/>
          <w:sz w:val="28"/>
          <w:szCs w:val="28"/>
          <w:lang w:eastAsia="ru-RU"/>
        </w:rPr>
        <w:t xml:space="preserve"> - це хаотична сукупність різних за силою і частотою звуків, що заважають сприйняттю корисних сигналів</w:t>
      </w:r>
      <w:r>
        <w:rPr>
          <w:rFonts w:ascii="Georgia" w:eastAsia="Times New Roman" w:hAnsi="Georgia" w:cs="Times New Roman"/>
          <w:bCs/>
          <w:iCs/>
          <w:color w:val="000000"/>
          <w:sz w:val="28"/>
          <w:szCs w:val="28"/>
          <w:lang w:eastAsia="ru-RU"/>
        </w:rPr>
        <w:t>.</w:t>
      </w:r>
    </w:p>
    <w:p w:rsidR="005E265A" w:rsidRDefault="005E265A" w:rsidP="005E265A">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5E265A">
        <w:rPr>
          <w:rFonts w:ascii="Georgia" w:hAnsi="Georgia"/>
          <w:bCs/>
          <w:iCs/>
          <w:color w:val="00B050"/>
          <w:sz w:val="32"/>
          <w:szCs w:val="28"/>
        </w:rPr>
        <w:t>Вібрація</w:t>
      </w:r>
      <w:r>
        <w:rPr>
          <w:rFonts w:ascii="Georgia" w:hAnsi="Georgia"/>
          <w:bCs/>
          <w:iCs/>
          <w:color w:val="00B050"/>
          <w:sz w:val="32"/>
          <w:szCs w:val="28"/>
        </w:rPr>
        <w:t xml:space="preserve"> </w:t>
      </w:r>
      <w:r w:rsidRPr="005E265A">
        <w:rPr>
          <w:rFonts w:ascii="Georgia" w:eastAsia="Times New Roman" w:hAnsi="Georgia" w:cs="Times New Roman"/>
          <w:bCs/>
          <w:iCs/>
          <w:color w:val="000000"/>
          <w:sz w:val="28"/>
          <w:szCs w:val="28"/>
          <w:lang w:eastAsia="ru-RU"/>
        </w:rPr>
        <w:t>-</w:t>
      </w:r>
      <w:r>
        <w:rPr>
          <w:rFonts w:ascii="Georgia" w:eastAsia="Times New Roman" w:hAnsi="Georgia" w:cs="Times New Roman"/>
          <w:bCs/>
          <w:iCs/>
          <w:color w:val="000000"/>
          <w:sz w:val="28"/>
          <w:szCs w:val="28"/>
          <w:lang w:eastAsia="ru-RU"/>
        </w:rPr>
        <w:t xml:space="preserve"> </w:t>
      </w:r>
      <w:r w:rsidRPr="005E265A">
        <w:rPr>
          <w:rFonts w:ascii="Georgia" w:eastAsia="Times New Roman" w:hAnsi="Georgia" w:cs="Times New Roman"/>
          <w:bCs/>
          <w:iCs/>
          <w:color w:val="000000"/>
          <w:sz w:val="28"/>
          <w:szCs w:val="28"/>
          <w:lang w:eastAsia="ru-RU"/>
        </w:rPr>
        <w:t>це механічний коливальний рух системи з пружними зв’язками. Найпростішою формою вібрації є гармонічне коливання, по синусоїдальному закону.</w:t>
      </w:r>
    </w:p>
    <w:p w:rsidR="003D5AE8" w:rsidRDefault="003D5AE8" w:rsidP="003D5AE8">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3D5AE8">
        <w:rPr>
          <w:rFonts w:ascii="Georgia" w:hAnsi="Georgia"/>
          <w:bCs/>
          <w:iCs/>
          <w:color w:val="00B050"/>
          <w:sz w:val="32"/>
          <w:szCs w:val="28"/>
        </w:rPr>
        <w:t>Іонізуюче випромінювання</w:t>
      </w:r>
      <w:r w:rsidRPr="003D5AE8">
        <w:rPr>
          <w:rFonts w:ascii="Georgia" w:eastAsia="Times New Roman" w:hAnsi="Georgia" w:cs="Times New Roman"/>
          <w:bCs/>
          <w:iCs/>
          <w:color w:val="000000"/>
          <w:sz w:val="28"/>
          <w:szCs w:val="28"/>
          <w:lang w:eastAsia="ru-RU"/>
        </w:rPr>
        <w:t xml:space="preserve"> - це випромінювання, взаємодія якого з середовищем призводить до утворення електричних зарядів (іонів) різних знаків.</w:t>
      </w:r>
    </w:p>
    <w:p w:rsidR="003D5AE8" w:rsidRPr="003C0761" w:rsidRDefault="003D5AE8" w:rsidP="003D5AE8">
      <w:pPr>
        <w:pStyle w:val="a3"/>
        <w:numPr>
          <w:ilvl w:val="0"/>
          <w:numId w:val="2"/>
        </w:numPr>
        <w:shd w:val="clear" w:color="auto" w:fill="FFFFFF"/>
        <w:spacing w:before="120" w:after="120" w:line="240" w:lineRule="auto"/>
        <w:jc w:val="both"/>
        <w:rPr>
          <w:rFonts w:ascii="Georgia" w:eastAsia="Times New Roman" w:hAnsi="Georgia" w:cs="Times New Roman"/>
          <w:bCs/>
          <w:iCs/>
          <w:color w:val="000000"/>
          <w:sz w:val="28"/>
          <w:szCs w:val="28"/>
          <w:lang w:eastAsia="ru-RU"/>
        </w:rPr>
      </w:pPr>
      <w:r w:rsidRPr="003D5AE8">
        <w:rPr>
          <w:rFonts w:ascii="Georgia" w:hAnsi="Georgia"/>
          <w:bCs/>
          <w:iCs/>
          <w:color w:val="00B050"/>
          <w:sz w:val="32"/>
          <w:szCs w:val="28"/>
        </w:rPr>
        <w:t>Рентгенівське іонізуюче випр</w:t>
      </w:r>
      <w:bookmarkStart w:id="0" w:name="_GoBack"/>
      <w:bookmarkEnd w:id="0"/>
      <w:r w:rsidRPr="003D5AE8">
        <w:rPr>
          <w:rFonts w:ascii="Georgia" w:hAnsi="Georgia"/>
          <w:bCs/>
          <w:iCs/>
          <w:color w:val="00B050"/>
          <w:sz w:val="32"/>
          <w:szCs w:val="28"/>
        </w:rPr>
        <w:t>омінювання</w:t>
      </w:r>
      <w:r w:rsidRPr="003D5AE8">
        <w:rPr>
          <w:rFonts w:ascii="Georgia" w:eastAsia="Times New Roman" w:hAnsi="Georgia" w:cs="Times New Roman"/>
          <w:bCs/>
          <w:iCs/>
          <w:color w:val="000000"/>
          <w:sz w:val="28"/>
          <w:szCs w:val="28"/>
          <w:lang w:eastAsia="ru-RU"/>
        </w:rPr>
        <w:t xml:space="preserve"> – це електромагнітне випромінювання з довжиною хвиль λ = 10-5 – 10-2 нм</w:t>
      </w:r>
      <w:r>
        <w:rPr>
          <w:rFonts w:ascii="Georgia" w:eastAsia="Times New Roman" w:hAnsi="Georgia" w:cs="Times New Roman"/>
          <w:bCs/>
          <w:iCs/>
          <w:color w:val="000000"/>
          <w:sz w:val="28"/>
          <w:szCs w:val="28"/>
          <w:lang w:eastAsia="ru-RU"/>
        </w:rPr>
        <w:t>.</w:t>
      </w:r>
    </w:p>
    <w:p w:rsidR="00B60F25" w:rsidRPr="00D629B0" w:rsidRDefault="00B60F25" w:rsidP="00B60F25">
      <w:pPr>
        <w:pStyle w:val="a3"/>
        <w:spacing w:before="48" w:after="0" w:line="240" w:lineRule="auto"/>
        <w:ind w:right="106"/>
        <w:jc w:val="both"/>
        <w:rPr>
          <w:rFonts w:ascii="Georgia" w:eastAsia="Times New Roman" w:hAnsi="Georgia" w:cs="Times New Roman"/>
          <w:bCs/>
          <w:iCs/>
          <w:color w:val="000000"/>
          <w:sz w:val="28"/>
          <w:szCs w:val="28"/>
          <w:lang w:eastAsia="ru-RU"/>
        </w:rPr>
      </w:pPr>
    </w:p>
    <w:p w:rsidR="00B236A7" w:rsidRPr="005A5C6A" w:rsidRDefault="00B236A7" w:rsidP="00D629B0">
      <w:pPr>
        <w:pStyle w:val="a4"/>
        <w:spacing w:before="48" w:after="0"/>
        <w:ind w:left="720" w:right="-36"/>
        <w:jc w:val="both"/>
        <w:rPr>
          <w:rFonts w:ascii="Georgia" w:hAnsi="Georgia"/>
          <w:sz w:val="28"/>
        </w:rPr>
      </w:pPr>
    </w:p>
    <w:sectPr w:rsidR="00B236A7" w:rsidRPr="005A5C6A" w:rsidSect="00E8727A">
      <w:pgSz w:w="11906" w:h="16838"/>
      <w:pgMar w:top="357" w:right="386" w:bottom="357" w:left="357"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761"/>
    <w:multiLevelType w:val="hybridMultilevel"/>
    <w:tmpl w:val="1490489E"/>
    <w:lvl w:ilvl="0" w:tplc="E52A3BA8">
      <w:start w:val="9"/>
      <w:numFmt w:val="decimal"/>
      <w:lvlText w:val="%1."/>
      <w:lvlJc w:val="left"/>
      <w:pPr>
        <w:ind w:left="1440" w:hanging="360"/>
      </w:pPr>
      <w:rPr>
        <w:rFonts w:ascii="Georgia" w:hAnsi="Georgia" w:hint="default"/>
        <w:color w:val="00B050"/>
        <w:sz w:val="28"/>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nsid w:val="12323FD7"/>
    <w:multiLevelType w:val="hybridMultilevel"/>
    <w:tmpl w:val="AB3CB126"/>
    <w:lvl w:ilvl="0" w:tplc="E52A3BA8">
      <w:start w:val="9"/>
      <w:numFmt w:val="decimal"/>
      <w:lvlText w:val="%1."/>
      <w:lvlJc w:val="left"/>
      <w:pPr>
        <w:ind w:left="1509" w:hanging="360"/>
      </w:pPr>
      <w:rPr>
        <w:rFonts w:ascii="Georgia" w:hAnsi="Georgia" w:hint="default"/>
        <w:color w:val="00B050"/>
        <w:sz w:val="28"/>
      </w:rPr>
    </w:lvl>
    <w:lvl w:ilvl="1" w:tplc="04220019" w:tentative="1">
      <w:start w:val="1"/>
      <w:numFmt w:val="lowerLetter"/>
      <w:lvlText w:val="%2."/>
      <w:lvlJc w:val="left"/>
      <w:pPr>
        <w:ind w:left="2229" w:hanging="360"/>
      </w:pPr>
    </w:lvl>
    <w:lvl w:ilvl="2" w:tplc="0422001B" w:tentative="1">
      <w:start w:val="1"/>
      <w:numFmt w:val="lowerRoman"/>
      <w:lvlText w:val="%3."/>
      <w:lvlJc w:val="right"/>
      <w:pPr>
        <w:ind w:left="2949" w:hanging="180"/>
      </w:pPr>
    </w:lvl>
    <w:lvl w:ilvl="3" w:tplc="0422000F" w:tentative="1">
      <w:start w:val="1"/>
      <w:numFmt w:val="decimal"/>
      <w:lvlText w:val="%4."/>
      <w:lvlJc w:val="left"/>
      <w:pPr>
        <w:ind w:left="3669" w:hanging="360"/>
      </w:pPr>
    </w:lvl>
    <w:lvl w:ilvl="4" w:tplc="04220019" w:tentative="1">
      <w:start w:val="1"/>
      <w:numFmt w:val="lowerLetter"/>
      <w:lvlText w:val="%5."/>
      <w:lvlJc w:val="left"/>
      <w:pPr>
        <w:ind w:left="4389" w:hanging="360"/>
      </w:pPr>
    </w:lvl>
    <w:lvl w:ilvl="5" w:tplc="0422001B" w:tentative="1">
      <w:start w:val="1"/>
      <w:numFmt w:val="lowerRoman"/>
      <w:lvlText w:val="%6."/>
      <w:lvlJc w:val="right"/>
      <w:pPr>
        <w:ind w:left="5109" w:hanging="180"/>
      </w:pPr>
    </w:lvl>
    <w:lvl w:ilvl="6" w:tplc="0422000F" w:tentative="1">
      <w:start w:val="1"/>
      <w:numFmt w:val="decimal"/>
      <w:lvlText w:val="%7."/>
      <w:lvlJc w:val="left"/>
      <w:pPr>
        <w:ind w:left="5829" w:hanging="360"/>
      </w:pPr>
    </w:lvl>
    <w:lvl w:ilvl="7" w:tplc="04220019" w:tentative="1">
      <w:start w:val="1"/>
      <w:numFmt w:val="lowerLetter"/>
      <w:lvlText w:val="%8."/>
      <w:lvlJc w:val="left"/>
      <w:pPr>
        <w:ind w:left="6549" w:hanging="360"/>
      </w:pPr>
    </w:lvl>
    <w:lvl w:ilvl="8" w:tplc="0422001B" w:tentative="1">
      <w:start w:val="1"/>
      <w:numFmt w:val="lowerRoman"/>
      <w:lvlText w:val="%9."/>
      <w:lvlJc w:val="right"/>
      <w:pPr>
        <w:ind w:left="7269" w:hanging="180"/>
      </w:pPr>
    </w:lvl>
  </w:abstractNum>
  <w:abstractNum w:abstractNumId="2">
    <w:nsid w:val="1E5B3821"/>
    <w:multiLevelType w:val="hybridMultilevel"/>
    <w:tmpl w:val="97D67280"/>
    <w:lvl w:ilvl="0" w:tplc="919C9808">
      <w:start w:val="1"/>
      <w:numFmt w:val="decimal"/>
      <w:lvlText w:val="%1."/>
      <w:lvlJc w:val="left"/>
      <w:pPr>
        <w:ind w:left="720" w:hanging="360"/>
      </w:pPr>
      <w:rPr>
        <w:b w:val="0"/>
        <w:i w:val="0"/>
        <w:color w:val="00B05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4615091"/>
    <w:multiLevelType w:val="hybridMultilevel"/>
    <w:tmpl w:val="027A80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36032A1"/>
    <w:multiLevelType w:val="hybridMultilevel"/>
    <w:tmpl w:val="20721F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91B056D"/>
    <w:multiLevelType w:val="hybridMultilevel"/>
    <w:tmpl w:val="9B92CFA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nsid w:val="4F1116B0"/>
    <w:multiLevelType w:val="hybridMultilevel"/>
    <w:tmpl w:val="251E567A"/>
    <w:lvl w:ilvl="0" w:tplc="39CCC764">
      <w:start w:val="9"/>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nsid w:val="54B56EFF"/>
    <w:multiLevelType w:val="hybridMultilevel"/>
    <w:tmpl w:val="1B10BCA6"/>
    <w:lvl w:ilvl="0" w:tplc="04220001">
      <w:start w:val="1"/>
      <w:numFmt w:val="bullet"/>
      <w:lvlText w:val=""/>
      <w:lvlJc w:val="left"/>
      <w:pPr>
        <w:ind w:left="1431" w:hanging="360"/>
      </w:pPr>
      <w:rPr>
        <w:rFonts w:ascii="Symbol" w:hAnsi="Symbol" w:hint="default"/>
      </w:rPr>
    </w:lvl>
    <w:lvl w:ilvl="1" w:tplc="04220003" w:tentative="1">
      <w:start w:val="1"/>
      <w:numFmt w:val="bullet"/>
      <w:lvlText w:val="o"/>
      <w:lvlJc w:val="left"/>
      <w:pPr>
        <w:ind w:left="2151" w:hanging="360"/>
      </w:pPr>
      <w:rPr>
        <w:rFonts w:ascii="Courier New" w:hAnsi="Courier New" w:cs="Courier New" w:hint="default"/>
      </w:rPr>
    </w:lvl>
    <w:lvl w:ilvl="2" w:tplc="04220005" w:tentative="1">
      <w:start w:val="1"/>
      <w:numFmt w:val="bullet"/>
      <w:lvlText w:val=""/>
      <w:lvlJc w:val="left"/>
      <w:pPr>
        <w:ind w:left="2871" w:hanging="360"/>
      </w:pPr>
      <w:rPr>
        <w:rFonts w:ascii="Wingdings" w:hAnsi="Wingdings" w:hint="default"/>
      </w:rPr>
    </w:lvl>
    <w:lvl w:ilvl="3" w:tplc="04220001" w:tentative="1">
      <w:start w:val="1"/>
      <w:numFmt w:val="bullet"/>
      <w:lvlText w:val=""/>
      <w:lvlJc w:val="left"/>
      <w:pPr>
        <w:ind w:left="3591" w:hanging="360"/>
      </w:pPr>
      <w:rPr>
        <w:rFonts w:ascii="Symbol" w:hAnsi="Symbol" w:hint="default"/>
      </w:rPr>
    </w:lvl>
    <w:lvl w:ilvl="4" w:tplc="04220003" w:tentative="1">
      <w:start w:val="1"/>
      <w:numFmt w:val="bullet"/>
      <w:lvlText w:val="o"/>
      <w:lvlJc w:val="left"/>
      <w:pPr>
        <w:ind w:left="4311" w:hanging="360"/>
      </w:pPr>
      <w:rPr>
        <w:rFonts w:ascii="Courier New" w:hAnsi="Courier New" w:cs="Courier New" w:hint="default"/>
      </w:rPr>
    </w:lvl>
    <w:lvl w:ilvl="5" w:tplc="04220005" w:tentative="1">
      <w:start w:val="1"/>
      <w:numFmt w:val="bullet"/>
      <w:lvlText w:val=""/>
      <w:lvlJc w:val="left"/>
      <w:pPr>
        <w:ind w:left="5031" w:hanging="360"/>
      </w:pPr>
      <w:rPr>
        <w:rFonts w:ascii="Wingdings" w:hAnsi="Wingdings" w:hint="default"/>
      </w:rPr>
    </w:lvl>
    <w:lvl w:ilvl="6" w:tplc="04220001" w:tentative="1">
      <w:start w:val="1"/>
      <w:numFmt w:val="bullet"/>
      <w:lvlText w:val=""/>
      <w:lvlJc w:val="left"/>
      <w:pPr>
        <w:ind w:left="5751" w:hanging="360"/>
      </w:pPr>
      <w:rPr>
        <w:rFonts w:ascii="Symbol" w:hAnsi="Symbol" w:hint="default"/>
      </w:rPr>
    </w:lvl>
    <w:lvl w:ilvl="7" w:tplc="04220003" w:tentative="1">
      <w:start w:val="1"/>
      <w:numFmt w:val="bullet"/>
      <w:lvlText w:val="o"/>
      <w:lvlJc w:val="left"/>
      <w:pPr>
        <w:ind w:left="6471" w:hanging="360"/>
      </w:pPr>
      <w:rPr>
        <w:rFonts w:ascii="Courier New" w:hAnsi="Courier New" w:cs="Courier New" w:hint="default"/>
      </w:rPr>
    </w:lvl>
    <w:lvl w:ilvl="8" w:tplc="04220005" w:tentative="1">
      <w:start w:val="1"/>
      <w:numFmt w:val="bullet"/>
      <w:lvlText w:val=""/>
      <w:lvlJc w:val="left"/>
      <w:pPr>
        <w:ind w:left="7191" w:hanging="360"/>
      </w:pPr>
      <w:rPr>
        <w:rFonts w:ascii="Wingdings" w:hAnsi="Wingdings" w:hint="default"/>
      </w:rPr>
    </w:lvl>
  </w:abstractNum>
  <w:abstractNum w:abstractNumId="8">
    <w:nsid w:val="54F21CB2"/>
    <w:multiLevelType w:val="hybridMultilevel"/>
    <w:tmpl w:val="256E64E8"/>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nsid w:val="64363600"/>
    <w:multiLevelType w:val="hybridMultilevel"/>
    <w:tmpl w:val="D7B2460A"/>
    <w:lvl w:ilvl="0" w:tplc="0422000F">
      <w:start w:val="1"/>
      <w:numFmt w:val="decimal"/>
      <w:lvlText w:val="%1."/>
      <w:lvlJc w:val="left"/>
      <w:pPr>
        <w:ind w:left="855" w:hanging="360"/>
      </w:pPr>
    </w:lvl>
    <w:lvl w:ilvl="1" w:tplc="04220019" w:tentative="1">
      <w:start w:val="1"/>
      <w:numFmt w:val="lowerLetter"/>
      <w:lvlText w:val="%2."/>
      <w:lvlJc w:val="left"/>
      <w:pPr>
        <w:ind w:left="1575" w:hanging="360"/>
      </w:pPr>
    </w:lvl>
    <w:lvl w:ilvl="2" w:tplc="0422001B" w:tentative="1">
      <w:start w:val="1"/>
      <w:numFmt w:val="lowerRoman"/>
      <w:lvlText w:val="%3."/>
      <w:lvlJc w:val="right"/>
      <w:pPr>
        <w:ind w:left="2295" w:hanging="180"/>
      </w:pPr>
    </w:lvl>
    <w:lvl w:ilvl="3" w:tplc="0422000F" w:tentative="1">
      <w:start w:val="1"/>
      <w:numFmt w:val="decimal"/>
      <w:lvlText w:val="%4."/>
      <w:lvlJc w:val="left"/>
      <w:pPr>
        <w:ind w:left="3015" w:hanging="360"/>
      </w:pPr>
    </w:lvl>
    <w:lvl w:ilvl="4" w:tplc="04220019" w:tentative="1">
      <w:start w:val="1"/>
      <w:numFmt w:val="lowerLetter"/>
      <w:lvlText w:val="%5."/>
      <w:lvlJc w:val="left"/>
      <w:pPr>
        <w:ind w:left="3735" w:hanging="360"/>
      </w:pPr>
    </w:lvl>
    <w:lvl w:ilvl="5" w:tplc="0422001B" w:tentative="1">
      <w:start w:val="1"/>
      <w:numFmt w:val="lowerRoman"/>
      <w:lvlText w:val="%6."/>
      <w:lvlJc w:val="right"/>
      <w:pPr>
        <w:ind w:left="4455" w:hanging="180"/>
      </w:pPr>
    </w:lvl>
    <w:lvl w:ilvl="6" w:tplc="0422000F" w:tentative="1">
      <w:start w:val="1"/>
      <w:numFmt w:val="decimal"/>
      <w:lvlText w:val="%7."/>
      <w:lvlJc w:val="left"/>
      <w:pPr>
        <w:ind w:left="5175" w:hanging="360"/>
      </w:pPr>
    </w:lvl>
    <w:lvl w:ilvl="7" w:tplc="04220019" w:tentative="1">
      <w:start w:val="1"/>
      <w:numFmt w:val="lowerLetter"/>
      <w:lvlText w:val="%8."/>
      <w:lvlJc w:val="left"/>
      <w:pPr>
        <w:ind w:left="5895" w:hanging="360"/>
      </w:pPr>
    </w:lvl>
    <w:lvl w:ilvl="8" w:tplc="0422001B" w:tentative="1">
      <w:start w:val="1"/>
      <w:numFmt w:val="lowerRoman"/>
      <w:lvlText w:val="%9."/>
      <w:lvlJc w:val="right"/>
      <w:pPr>
        <w:ind w:left="6615" w:hanging="180"/>
      </w:pPr>
    </w:lvl>
  </w:abstractNum>
  <w:abstractNum w:abstractNumId="10">
    <w:nsid w:val="6D86791A"/>
    <w:multiLevelType w:val="hybridMultilevel"/>
    <w:tmpl w:val="1EBC84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DD2521B"/>
    <w:multiLevelType w:val="hybridMultilevel"/>
    <w:tmpl w:val="CC6CC116"/>
    <w:lvl w:ilvl="0" w:tplc="E52A3BA8">
      <w:start w:val="9"/>
      <w:numFmt w:val="decimal"/>
      <w:lvlText w:val="%1."/>
      <w:lvlJc w:val="left"/>
      <w:pPr>
        <w:ind w:left="720" w:hanging="360"/>
      </w:pPr>
      <w:rPr>
        <w:rFonts w:ascii="Georgia" w:hAnsi="Georgia" w:hint="default"/>
        <w:color w:val="00B05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E3B6503"/>
    <w:multiLevelType w:val="hybridMultilevel"/>
    <w:tmpl w:val="E3A0362C"/>
    <w:lvl w:ilvl="0" w:tplc="39CCC764">
      <w:start w:val="9"/>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9"/>
  </w:num>
  <w:num w:numId="5">
    <w:abstractNumId w:val="7"/>
  </w:num>
  <w:num w:numId="6">
    <w:abstractNumId w:val="12"/>
  </w:num>
  <w:num w:numId="7">
    <w:abstractNumId w:val="6"/>
  </w:num>
  <w:num w:numId="8">
    <w:abstractNumId w:val="11"/>
  </w:num>
  <w:num w:numId="9">
    <w:abstractNumId w:val="1"/>
  </w:num>
  <w:num w:numId="10">
    <w:abstractNumId w:val="10"/>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88"/>
    <w:rsid w:val="00032080"/>
    <w:rsid w:val="00096200"/>
    <w:rsid w:val="000A0ADB"/>
    <w:rsid w:val="000A60D3"/>
    <w:rsid w:val="000D4188"/>
    <w:rsid w:val="00181DB1"/>
    <w:rsid w:val="00182524"/>
    <w:rsid w:val="003C0761"/>
    <w:rsid w:val="003D5AE8"/>
    <w:rsid w:val="004153AE"/>
    <w:rsid w:val="004648D4"/>
    <w:rsid w:val="00535AFD"/>
    <w:rsid w:val="0055453A"/>
    <w:rsid w:val="005A30C1"/>
    <w:rsid w:val="005A5C6A"/>
    <w:rsid w:val="005D3A67"/>
    <w:rsid w:val="005E265A"/>
    <w:rsid w:val="0065048B"/>
    <w:rsid w:val="00662BF6"/>
    <w:rsid w:val="00684D5C"/>
    <w:rsid w:val="00700673"/>
    <w:rsid w:val="007756E6"/>
    <w:rsid w:val="00906B15"/>
    <w:rsid w:val="009B7C51"/>
    <w:rsid w:val="009E4DE8"/>
    <w:rsid w:val="00A26913"/>
    <w:rsid w:val="00A6701F"/>
    <w:rsid w:val="00AB2275"/>
    <w:rsid w:val="00B076D0"/>
    <w:rsid w:val="00B155C8"/>
    <w:rsid w:val="00B236A7"/>
    <w:rsid w:val="00B60F25"/>
    <w:rsid w:val="00C97479"/>
    <w:rsid w:val="00CC273C"/>
    <w:rsid w:val="00CE02F4"/>
    <w:rsid w:val="00D03A47"/>
    <w:rsid w:val="00D4664F"/>
    <w:rsid w:val="00D629B0"/>
    <w:rsid w:val="00D755D3"/>
    <w:rsid w:val="00E25388"/>
    <w:rsid w:val="00E62B86"/>
    <w:rsid w:val="00E80DEE"/>
    <w:rsid w:val="00E8727A"/>
    <w:rsid w:val="00ED2CDA"/>
    <w:rsid w:val="00F83052"/>
    <w:rsid w:val="00F85CD0"/>
    <w:rsid w:val="00FD12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2CA64-EECF-4B79-AB4D-91977DEC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27A"/>
    <w:pPr>
      <w:ind w:left="720"/>
      <w:contextualSpacing/>
    </w:pPr>
  </w:style>
  <w:style w:type="paragraph" w:styleId="a4">
    <w:name w:val="Normal (Web)"/>
    <w:basedOn w:val="a"/>
    <w:uiPriority w:val="99"/>
    <w:unhideWhenUsed/>
    <w:rsid w:val="00ED2CDA"/>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wikipedia.org/wiki/%D0%AF%D1%81%D0%BA%D1%80%D0%B0%D0%B2%D1%96%D1%81%D1%82%D1%8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4338</Words>
  <Characters>2473</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42</cp:revision>
  <dcterms:created xsi:type="dcterms:W3CDTF">2019-02-27T18:28:00Z</dcterms:created>
  <dcterms:modified xsi:type="dcterms:W3CDTF">2019-03-13T20:35:00Z</dcterms:modified>
</cp:coreProperties>
</file>