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Tableaux des résultats</w:t>
      </w:r>
    </w:p>
    <w:p>
      <w:r>
        <w:t>Ébauche de présentation scientifique.</w:t>
        <w:br/>
      </w:r>
    </w:p>
    <w:p>
      <w:pPr>
        <w:pStyle w:val="Heading2"/>
      </w:pPr>
      <w:r>
        <w:t>Tableau 1 — Statistiques descriptives J21 par dose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Colonnes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(À remplir avec les données fournies)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Interprétation : Voir les données fournies par l'utilisateur. Ce tableau résume les statistiques descriptives (n=3 blocs).</w:t>
      </w:r>
    </w:p>
    <w:p>
      <w:pPr>
        <w:pStyle w:val="Heading2"/>
      </w:pPr>
      <w:r>
        <w:t>Tableau 2 — ANOVA DBCR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Colonnes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(À remplir avec les données fournies)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Interprétation : Résultats de l'ANOVA avec F, ddl et significativité.</w:t>
      </w:r>
    </w:p>
    <w:p>
      <w:pPr>
        <w:pStyle w:val="Heading2"/>
      </w:pPr>
      <w:r>
        <w:t>Tableau 3 — Comparaisons multiples Tukey HSD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Colonnes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(À remplir avec les données fournies)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Interprétation : Groupes homogènes selon Tukey (α=0,05).</w:t>
      </w:r>
    </w:p>
    <w:p>
      <w:pPr>
        <w:pStyle w:val="Heading2"/>
      </w:pPr>
      <w:r>
        <w:t>Tableau 4 — Paramètres des régressions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Colonnes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(À remplir avec les données fournies)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Interprétation : Paramètres des modèles dose-réponse.</w:t>
      </w:r>
    </w:p>
    <w:p>
      <w:pPr>
        <w:pStyle w:val="Heading2"/>
      </w:pPr>
      <w:r>
        <w:t>Tableau 5 — Matrice de corrélation de Pearson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Colonnes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(À remplir avec les données fournies)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Interprétation : Corrélations entre variables.</w:t>
      </w:r>
    </w:p>
    <w:p>
      <w:pPr>
        <w:pStyle w:val="Heading2"/>
      </w:pPr>
      <w:r>
        <w:t>Tableau 6 — Données expérimentales J21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Colonnes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(À remplir avec les données fournies)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Interprétation : Observations par bloc et par dose.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