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40"/>
        </w:rPr>
        <w:t>Model Iteration Log — Iteration 2</w:t>
      </w:r>
    </w:p>
    <w:p>
      <w:pPr>
        <w:jc w:val="center"/>
      </w:pPr>
      <w:r>
        <w:rPr>
          <w:i/>
          <w:color w:val="606060"/>
          <w:sz w:val="22"/>
        </w:rPr>
        <w:t>MSc Dissertation — Kenya coffee NARDL/XGBoost pipeline</w:t>
      </w:r>
    </w:p>
    <w:p>
      <w:pPr>
        <w:jc w:val="center"/>
      </w:pPr>
      <w:r>
        <w:rPr>
          <w:i/>
          <w:color w:val="606060"/>
          <w:sz w:val="20"/>
        </w:rPr>
        <w:t>Iteration 2: code changes implemented; pipeline run pending. Results section to be populated after run.</w:t>
      </w:r>
    </w:p>
    <w:p/>
    <w:p>
      <w:pPr>
        <w:keepNext/>
        <w:spacing w:before="320" w:after="120"/>
      </w:pPr>
      <w:r>
        <w:rPr>
          <w:b/>
          <w:color w:val="1F3864"/>
          <w:sz w:val="32"/>
        </w:rPr>
        <w:t>1. Scope and rationale</w:t>
      </w:r>
    </w:p>
    <w:p>
      <w:pPr>
        <w:jc w:val="both"/>
      </w:pPr>
      <w:r>
        <w:rPr>
          <w:sz w:val="20"/>
        </w:rPr>
        <w:t>Iteration 2 implements six methodological changes scoped during the iteration-1 review (Iteration_Reports/Iteration_1_Model_Log.docx, Section 4). The objective is to address the five known limitations of iteration 1 (BG(12) residual serial correlation at Stage 1; borderline Stage 2 cointegration verdict; FX-vs-no-FX BIC tension; under-utilisation of the structural ECT feature by Stage 1 XGBoost; Colombian Milds dominating NY on every empirical metric) while preserving the iteration-1 results as the frozen first-pass baseline. Iteration 1 is read-only under Codes/Iteration_1/. Iteration 2 lives in Codes/Iteration_2/ and is self-contained: its own Data/ snapshot, _outputs/, and code base.</w:t>
      </w:r>
    </w:p>
    <w:p>
      <w:pPr>
        <w:jc w:val="both"/>
      </w:pPr>
      <w:r>
        <w:rPr>
          <w:sz w:val="20"/>
        </w:rPr>
        <w:t>The Tier 2.1 feature trim and Tiers 2.3, 2.4, 3.1, 3.2 changes from the iteration-1 plan were deferred to iteration 3 or beyond, as agreed during scope negotiation. The Tier 3.3 conditional fallback (Stage 1 NARDL with structural-break dummies as exogenous controls) will be triggered only if change 1.1 (BG-aware lag selection) fails to resolve the Stage 1 BG(12) p &lt; 0.05 issue.</w:t>
      </w:r>
    </w:p>
    <w:p>
      <w:pPr>
        <w:keepNext/>
        <w:spacing w:before="320" w:after="120"/>
      </w:pPr>
      <w:r>
        <w:rPr>
          <w:b/>
          <w:color w:val="1F3864"/>
          <w:sz w:val="32"/>
        </w:rPr>
        <w:t>2. Change ledger</w:t>
      </w:r>
    </w:p>
    <w:p>
      <w:pPr>
        <w:jc w:val="both"/>
      </w:pPr>
      <w:r>
        <w:rPr>
          <w:sz w:val="20"/>
        </w:rPr>
        <w:t>Each row below describes one change, the iteration-1 state, the iteration-2 state, and the file/function modified. Every code modification carries an inline '# ITER2 change X.X' comment so the diff between iterations is auditable line-by-line.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454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551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Change</w:t>
            </w:r>
          </w:p>
        </w:tc>
        <w:tc>
          <w:tcPr>
            <w:tcW w:type="dxa" w:w="2551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Iteration 1 state</w:t>
            </w:r>
          </w:p>
        </w:tc>
        <w:tc>
          <w:tcPr>
            <w:tcW w:type="dxa" w:w="311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Iteration 2 state</w:t>
            </w:r>
          </w:p>
        </w:tc>
        <w:tc>
          <w:tcPr>
            <w:tcW w:type="dxa" w:w="226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File / function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8"/>
              </w:rPr>
              <w:t>1.1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BG-aware Stage 1 lag selection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SBC alone selected (p,q,r)=(1,0,0). BG(12) p = 0.0001 — strong residual serial correlation.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After SBC pick, greedily extend (p,q,r) one lag at a time (caps 12,6,4) while BG(12) p &lt; 0.05. Both SBC-only and BG-augmented (p,q,r) reported.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step3a_nardl_stage1.py: fit_stage1() — BG-driven extension block; new column 'selection' in summary</w:t>
            </w:r>
          </w:p>
        </w:tc>
      </w:tr>
      <w:tr>
        <w:tc>
          <w:tcPr>
            <w:tcW w:type="dxa" w:w="454"/>
            <w:shd w:val="clear" w:color="auto" w:fill="EAF3FB"/>
          </w:tcPr>
          <w:p>
            <w:r/>
            <w:r>
              <w:rPr>
                <w:sz w:val="18"/>
              </w:rPr>
              <w:t>1.2</w:t>
            </w:r>
          </w:p>
        </w:tc>
        <w:tc>
          <w:tcPr>
            <w:tcW w:type="dxa" w:w="2551"/>
            <w:shd w:val="clear" w:color="auto" w:fill="EAF3FB"/>
          </w:tcPr>
          <w:p>
            <w:r/>
            <w:r>
              <w:rPr>
                <w:sz w:val="18"/>
              </w:rPr>
              <w:t>Stage 2 (m=1, n=1) sensitivity + multi-table bounds</w:t>
            </w:r>
          </w:p>
        </w:tc>
        <w:tc>
          <w:tcPr>
            <w:tcW w:type="dxa" w:w="2551"/>
            <w:shd w:val="clear" w:color="auto" w:fill="EAF3FB"/>
          </w:tcPr>
          <w:p>
            <w:r/>
            <w:r>
              <w:rPr>
                <w:sz w:val="18"/>
              </w:rPr>
              <w:t>SBC selected (m,n)=(0,0). Bounds F = 3.85 below Narayan I(0). Inconclusive cointegration verdict.</w:t>
            </w:r>
          </w:p>
        </w:tc>
        <w:tc>
          <w:tcPr>
            <w:tcW w:type="dxa" w:w="3118"/>
            <w:shd w:val="clear" w:color="auto" w:fill="EAF3FB"/>
          </w:tcPr>
          <w:p>
            <w:r/>
            <w:r>
              <w:rPr>
                <w:sz w:val="18"/>
              </w:rPr>
              <w:t>Forced (1,1) sensitivity reported alongside SBC pick. Bounds verdict reported under Narayan Case III, Narayan Case II, and Pesaran asymptotic Case III simultaneously.</w:t>
            </w:r>
          </w:p>
        </w:tc>
        <w:tc>
          <w:tcPr>
            <w:tcW w:type="dxa" w:w="2268"/>
            <w:shd w:val="clear" w:color="auto" w:fill="EAF3FB"/>
          </w:tcPr>
          <w:p>
            <w:r/>
            <w:r>
              <w:rPr>
                <w:sz w:val="18"/>
              </w:rPr>
              <w:t>step3b_nardl_stage2.py: fit_stage2(force_lags=...); main() concatenates SBC and forced summaries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8"/>
              </w:rPr>
              <w:t>1.3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Colombian Milds as co-baseline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NY 'C' Futures was sole primary; Colombian and ICO appeared only in robustness §3.7.2.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Stage 1 NARDL run for NY+FX, NY no-FX, Col+FX, Col no-FX. All four reported as co-baselines in nardl_stage1_baselines.csv.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step3a_nardl_stage1.py: main() rewritten with 4-spec matrix</w:t>
            </w:r>
          </w:p>
        </w:tc>
      </w:tr>
      <w:tr>
        <w:tc>
          <w:tcPr>
            <w:tcW w:type="dxa" w:w="454"/>
            <w:shd w:val="clear" w:color="auto" w:fill="EAF3FB"/>
          </w:tcPr>
          <w:p>
            <w:r/>
            <w:r>
              <w:rPr>
                <w:sz w:val="18"/>
              </w:rPr>
              <w:t>1.4</w:t>
            </w:r>
          </w:p>
        </w:tc>
        <w:tc>
          <w:tcPr>
            <w:tcW w:type="dxa" w:w="2551"/>
            <w:shd w:val="clear" w:color="auto" w:fill="EAF3FB"/>
          </w:tcPr>
          <w:p>
            <w:r/>
            <w:r>
              <w:rPr>
                <w:sz w:val="18"/>
              </w:rPr>
              <w:t>FX side-by-side reporting</w:t>
            </w:r>
          </w:p>
        </w:tc>
        <w:tc>
          <w:tcPr>
            <w:tcW w:type="dxa" w:w="2551"/>
            <w:shd w:val="clear" w:color="auto" w:fill="EAF3FB"/>
          </w:tcPr>
          <w:p>
            <w:r/>
            <w:r>
              <w:rPr>
                <w:sz w:val="18"/>
              </w:rPr>
              <w:t>FX-free was a sensitivity in §3.7.6.</w:t>
            </w:r>
          </w:p>
        </w:tc>
        <w:tc>
          <w:tcPr>
            <w:tcW w:type="dxa" w:w="3118"/>
            <w:shd w:val="clear" w:color="auto" w:fill="EAF3FB"/>
          </w:tcPr>
          <w:p>
            <w:r/>
            <w:r>
              <w:rPr>
                <w:sz w:val="18"/>
              </w:rPr>
              <w:t>Folded into 1.3 four-spec matrix; FX-included and FX-free are now co-baselines for both NY and Colombian.</w:t>
            </w:r>
          </w:p>
        </w:tc>
        <w:tc>
          <w:tcPr>
            <w:tcW w:type="dxa" w:w="2268"/>
            <w:shd w:val="clear" w:color="auto" w:fill="EAF3FB"/>
          </w:tcPr>
          <w:p>
            <w:r/>
            <w:r>
              <w:rPr>
                <w:sz w:val="18"/>
              </w:rPr>
              <w:t>step3a_nardl_stage1.py: main() (no separate code; produced as part of 1.3)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8"/>
              </w:rPr>
              <w:t>2.2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NARDL fitted-value as XGBoost feature (hybrid)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Stage 1 XGBoost feature catalogue had 12 lagged features; Stage1_ECT_lag1 mean |SHAP| only 0.019, suggesting underutilisation of NARDL structural information.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13th feature 'nardl_pred_t' added: the level lnAUC implied by NARDL coefficients fit on training-window data only. No leakage. Forces XGBoost to use NARDL's prediction as a starting point and learn nonlinear corrections on top.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step4a_xgb_stage1_monthly.py: feat_names, build_stage1_features() callsite; new helper _nardl_fitted_levels_for_block()</w:t>
            </w:r>
          </w:p>
        </w:tc>
      </w:tr>
      <w:tr>
        <w:tc>
          <w:tcPr>
            <w:tcW w:type="dxa" w:w="454"/>
            <w:shd w:val="clear" w:color="auto" w:fill="EAF3FB"/>
          </w:tcPr>
          <w:p>
            <w:r/>
            <w:r>
              <w:rPr>
                <w:sz w:val="18"/>
              </w:rPr>
              <w:t>3.4</w:t>
            </w:r>
          </w:p>
        </w:tc>
        <w:tc>
          <w:tcPr>
            <w:tcW w:type="dxa" w:w="2551"/>
            <w:shd w:val="clear" w:color="auto" w:fill="EAF3FB"/>
          </w:tcPr>
          <w:p>
            <w:r/>
            <w:r>
              <w:rPr>
                <w:sz w:val="18"/>
              </w:rPr>
              <w:t>PSS Case II bounds alongside Case III</w:t>
            </w:r>
          </w:p>
        </w:tc>
        <w:tc>
          <w:tcPr>
            <w:tcW w:type="dxa" w:w="2551"/>
            <w:shd w:val="clear" w:color="auto" w:fill="EAF3FB"/>
          </w:tcPr>
          <w:p>
            <w:r/>
            <w:r>
              <w:rPr>
                <w:sz w:val="18"/>
              </w:rPr>
              <w:t>Cointegration verdict reported only under PSS Case III (unrestricted intercept, no trend).</w:t>
            </w:r>
          </w:p>
        </w:tc>
        <w:tc>
          <w:tcPr>
            <w:tcW w:type="dxa" w:w="3118"/>
            <w:shd w:val="clear" w:color="auto" w:fill="EAF3FB"/>
          </w:tcPr>
          <w:p>
            <w:r/>
            <w:r>
              <w:rPr>
                <w:sz w:val="18"/>
              </w:rPr>
              <w:t>Both Case III (unrestricted intercept) and Case II (restricted intercept) reported simultaneously, at both Stage 1 and Stage 2. Tests whether cointegration verdict is robust to the deterministic-component case as well as the critical-value table.</w:t>
            </w:r>
          </w:p>
        </w:tc>
        <w:tc>
          <w:tcPr>
            <w:tcW w:type="dxa" w:w="2268"/>
            <w:shd w:val="clear" w:color="auto" w:fill="EAF3FB"/>
          </w:tcPr>
          <w:p>
            <w:r/>
            <w:r>
              <w:rPr>
                <w:sz w:val="18"/>
              </w:rPr>
              <w:t>step3a / step3b: new PSS_CRIT tables and verdict generators</w:t>
            </w:r>
          </w:p>
        </w:tc>
      </w:tr>
    </w:tbl>
    <w:p/>
    <w:p>
      <w:pPr>
        <w:keepNext/>
        <w:spacing w:before="320" w:after="120"/>
      </w:pPr>
      <w:r>
        <w:rPr>
          <w:b/>
          <w:color w:val="1F3864"/>
          <w:sz w:val="32"/>
        </w:rPr>
        <w:t>3. Output files expected to differ from iteration 1</w:t>
      </w:r>
    </w:p>
    <w:p>
      <w:pPr>
        <w:jc w:val="both"/>
      </w:pPr>
      <w:r>
        <w:rPr>
          <w:sz w:val="20"/>
        </w:rPr>
        <w:t>After the iteration-2 pipeline runs, these CSVs under Codes/Iteration_2/_outputs/tables/ should differ from their iteration-1 counterparts under Codes/Iteration_1/_outputs/tables/. A diff between the two folders forms the empirical audit trail of iteration 2.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</w:tblPr>
      <w:tblGrid>
        <w:gridCol w:w="3213"/>
        <w:gridCol w:w="3213"/>
        <w:gridCol w:w="3213"/>
      </w:tblGrid>
      <w:tr>
        <w:tc>
          <w:tcPr>
            <w:tcW w:type="dxa" w:w="2551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311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What changed</w:t>
            </w:r>
          </w:p>
        </w:tc>
        <w:tc>
          <w:tcPr>
            <w:tcW w:type="dxa" w:w="3685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Headline metric to compare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nardl_stage1_baselines.csv (NEW)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4-spec matrix added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L⁺/L⁻ across NY/Col x FX/no-FX</w:t>
            </w:r>
          </w:p>
        </w:tc>
      </w:tr>
      <w:tr>
        <w:tc>
          <w:tcPr>
            <w:tcW w:type="dxa" w:w="2551"/>
            <w:shd w:val="clear" w:color="auto" w:fill="EAF3FB"/>
          </w:tcPr>
          <w:p>
            <w:r/>
            <w:r>
              <w:rPr>
                <w:sz w:val="18"/>
              </w:rPr>
              <w:t>nardl_stage1_summary.csv</w:t>
            </w:r>
          </w:p>
        </w:tc>
        <w:tc>
          <w:tcPr>
            <w:tcW w:type="dxa" w:w="3118"/>
            <w:shd w:val="clear" w:color="auto" w:fill="EAF3FB"/>
          </w:tcPr>
          <w:p>
            <w:r/>
            <w:r>
              <w:rPr>
                <w:sz w:val="18"/>
              </w:rPr>
              <w:t>Adds p_sbc/q_sbc/r_sbc + selection columns</w:t>
            </w:r>
          </w:p>
        </w:tc>
        <w:tc>
          <w:tcPr>
            <w:tcW w:type="dxa" w:w="3685"/>
            <w:shd w:val="clear" w:color="auto" w:fill="EAF3FB"/>
          </w:tcPr>
          <w:p>
            <w:r/>
            <w:r>
              <w:rPr>
                <w:sz w:val="18"/>
              </w:rPr>
              <w:t>Whether (p,q,r) extended beyond (1,0,0)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nardl_stage1_diagnostics.csv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BG12_p across all four specs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Did extension drive BG12_p above 0.05?</w:t>
            </w:r>
          </w:p>
        </w:tc>
      </w:tr>
      <w:tr>
        <w:tc>
          <w:tcPr>
            <w:tcW w:type="dxa" w:w="2551"/>
            <w:shd w:val="clear" w:color="auto" w:fill="EAF3FB"/>
          </w:tcPr>
          <w:p>
            <w:r/>
            <w:r>
              <w:rPr>
                <w:sz w:val="18"/>
              </w:rPr>
              <w:t>nardl_stage1_cointegration.csv</w:t>
            </w:r>
          </w:p>
        </w:tc>
        <w:tc>
          <w:tcPr>
            <w:tcW w:type="dxa" w:w="3118"/>
            <w:shd w:val="clear" w:color="auto" w:fill="EAF3FB"/>
          </w:tcPr>
          <w:p>
            <w:r/>
            <w:r>
              <w:rPr>
                <w:sz w:val="18"/>
              </w:rPr>
              <w:t>Now 2 rows (Case III + Case II)</w:t>
            </w:r>
          </w:p>
        </w:tc>
        <w:tc>
          <w:tcPr>
            <w:tcW w:type="dxa" w:w="3685"/>
            <w:shd w:val="clear" w:color="auto" w:fill="EAF3FB"/>
          </w:tcPr>
          <w:p>
            <w:r/>
            <w:r>
              <w:rPr>
                <w:sz w:val="18"/>
              </w:rPr>
              <w:t>Does Case II flip the verdict?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nardl_stage1_coefficients_&lt;spec&gt;.csv (NEW)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Per-spec coefficient tables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Coefficient stability across specs</w:t>
            </w:r>
          </w:p>
        </w:tc>
      </w:tr>
      <w:tr>
        <w:tc>
          <w:tcPr>
            <w:tcW w:type="dxa" w:w="2551"/>
            <w:shd w:val="clear" w:color="auto" w:fill="EAF3FB"/>
          </w:tcPr>
          <w:p>
            <w:r/>
            <w:r>
              <w:rPr>
                <w:sz w:val="18"/>
              </w:rPr>
              <w:t>nardl_stage2_summary.csv</w:t>
            </w:r>
          </w:p>
        </w:tc>
        <w:tc>
          <w:tcPr>
            <w:tcW w:type="dxa" w:w="3118"/>
            <w:shd w:val="clear" w:color="auto" w:fill="EAF3FB"/>
          </w:tcPr>
          <w:p>
            <w:r/>
            <w:r>
              <w:rPr>
                <w:sz w:val="18"/>
              </w:rPr>
              <w:t>Now 2 rows (SBC + forced m=1,n=1)</w:t>
            </w:r>
          </w:p>
        </w:tc>
        <w:tc>
          <w:tcPr>
            <w:tcW w:type="dxa" w:w="3685"/>
            <w:shd w:val="clear" w:color="auto" w:fill="EAF3FB"/>
          </w:tcPr>
          <w:p>
            <w:r/>
            <w:r>
              <w:rPr>
                <w:sz w:val="18"/>
              </w:rPr>
              <w:t>Does richer dynamics change bounds F?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nardl_stage2_coefficients_m1n1.csv (NEW)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Forced-dynamics coefficients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551"/>
            <w:shd w:val="clear" w:color="auto" w:fill="EAF3FB"/>
          </w:tcPr>
          <w:p>
            <w:r/>
            <w:r>
              <w:rPr>
                <w:sz w:val="18"/>
              </w:rPr>
              <w:t>nardl_stage2_cointegration.csv</w:t>
            </w:r>
          </w:p>
        </w:tc>
        <w:tc>
          <w:tcPr>
            <w:tcW w:type="dxa" w:w="3118"/>
            <w:shd w:val="clear" w:color="auto" w:fill="EAF3FB"/>
          </w:tcPr>
          <w:p>
            <w:r/>
            <w:r>
              <w:rPr>
                <w:sz w:val="18"/>
              </w:rPr>
              <w:t>Now 3 rows (Narayan III + II + Pesaran III)</w:t>
            </w:r>
          </w:p>
        </w:tc>
        <w:tc>
          <w:tcPr>
            <w:tcW w:type="dxa" w:w="3685"/>
            <w:shd w:val="clear" w:color="auto" w:fill="EAF3FB"/>
          </w:tcPr>
          <w:p>
            <w:r/>
            <w:r>
              <w:rPr>
                <w:sz w:val="18"/>
              </w:rPr>
              <w:t>Does any spec/table flip the verdict?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xgb_stage1_metrics.csv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Now 13-feature hybrid model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Did RMSE log drop below NARDL's 0.147?</w:t>
            </w:r>
          </w:p>
        </w:tc>
      </w:tr>
      <w:tr>
        <w:tc>
          <w:tcPr>
            <w:tcW w:type="dxa" w:w="2551"/>
            <w:shd w:val="clear" w:color="auto" w:fill="EAF3FB"/>
          </w:tcPr>
          <w:p>
            <w:r/>
            <w:r>
              <w:rPr>
                <w:sz w:val="18"/>
              </w:rPr>
              <w:t>xgb_stage1_dm.csv</w:t>
            </w:r>
          </w:p>
        </w:tc>
        <w:tc>
          <w:tcPr>
            <w:tcW w:type="dxa" w:w="3118"/>
            <w:shd w:val="clear" w:color="auto" w:fill="EAF3FB"/>
          </w:tcPr>
          <w:p>
            <w:r/>
            <w:r>
              <w:rPr>
                <w:sz w:val="18"/>
              </w:rPr>
              <w:t>DM HLN with hybrid XGBoost</w:t>
            </w:r>
          </w:p>
        </w:tc>
        <w:tc>
          <w:tcPr>
            <w:tcW w:type="dxa" w:w="3685"/>
            <w:shd w:val="clear" w:color="auto" w:fill="EAF3FB"/>
          </w:tcPr>
          <w:p>
            <w:r/>
            <w:r>
              <w:rPr>
                <w:sz w:val="18"/>
              </w:rPr>
              <w:t>Did p-value rise above 0.05?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xgb_stage1_shap_top.csv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Now ranks 13 features incl. nardl_pred_t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Does nardl_pred_t dominate the catalogue?</w:t>
            </w:r>
          </w:p>
        </w:tc>
      </w:tr>
      <w:tr>
        <w:tc>
          <w:tcPr>
            <w:tcW w:type="dxa" w:w="2551"/>
            <w:shd w:val="clear" w:color="auto" w:fill="EAF3FB"/>
          </w:tcPr>
          <w:p>
            <w:r/>
            <w:r>
              <w:rPr>
                <w:sz w:val="18"/>
              </w:rPr>
              <w:t>xgb_stage1_predictions.csv</w:t>
            </w:r>
          </w:p>
        </w:tc>
        <w:tc>
          <w:tcPr>
            <w:tcW w:type="dxa" w:w="3118"/>
            <w:shd w:val="clear" w:color="auto" w:fill="EAF3FB"/>
          </w:tcPr>
          <w:p>
            <w:r/>
            <w:r>
              <w:rPr>
                <w:sz w:val="18"/>
              </w:rPr>
              <w:t>Hybrid XGBoost predictions</w:t>
            </w:r>
          </w:p>
        </w:tc>
        <w:tc>
          <w:tcPr>
            <w:tcW w:type="dxa" w:w="3685"/>
            <w:shd w:val="clear" w:color="auto" w:fill="EAF3FB"/>
          </w:tcPr>
          <w:p>
            <w:r/>
            <w:r>
              <w:rPr>
                <w:sz w:val="18"/>
              </w:rPr>
              <w:t>Year-by-year MAE comparison</w:t>
            </w:r>
          </w:p>
        </w:tc>
      </w:tr>
    </w:tbl>
    <w:p/>
    <w:p>
      <w:pPr>
        <w:keepNext/>
        <w:spacing w:before="320" w:after="120"/>
      </w:pPr>
      <w:r>
        <w:rPr>
          <w:b/>
          <w:color w:val="1F3864"/>
          <w:sz w:val="32"/>
        </w:rPr>
        <w:t>4. Results review (to be populated after run)</w:t>
      </w:r>
    </w:p>
    <w:p>
      <w:pPr>
        <w:jc w:val="both"/>
      </w:pPr>
      <w:r>
        <w:rPr>
          <w:sz w:val="20"/>
        </w:rPr>
        <w:t>After running 'python run_all.py' in Codes/Iteration_2/, this section will be populated with: (a) iteration-2 vs iteration-1 headline metrics, (b) change-by-change attribution for the observed shifts, (c) a consolidated answer to whether each iteration-1 known limitation has been resolved, and (d) iteration-3 candidate refinements.</w:t>
      </w:r>
    </w:p>
    <w:p>
      <w:pPr>
        <w:jc w:val="both"/>
      </w:pPr>
      <w:r>
        <w:rPr>
          <w:sz w:val="20"/>
        </w:rPr>
        <w:t>Place-holders for the four headline quantities to be filled after the run: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311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Quantity</w:t>
            </w:r>
          </w:p>
        </w:tc>
        <w:tc>
          <w:tcPr>
            <w:tcW w:type="dxa" w:w="1984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Iteration 1 value</w:t>
            </w:r>
          </w:p>
        </w:tc>
        <w:tc>
          <w:tcPr>
            <w:tcW w:type="dxa" w:w="1984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Iteration 2 value</w:t>
            </w:r>
          </w:p>
        </w:tc>
        <w:tc>
          <w:tcPr>
            <w:tcW w:type="dxa" w:w="85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Δ</w:t>
            </w:r>
          </w:p>
        </w:tc>
        <w:tc>
          <w:tcPr>
            <w:tcW w:type="dxa" w:w="1984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Verdict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Stage 1 NARDL BG(12) p (NY+FX)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0.0001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(after run)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(after run)</w:t>
            </w:r>
          </w:p>
        </w:tc>
      </w:tr>
      <w:tr>
        <w:tc>
          <w:tcPr>
            <w:tcW w:type="dxa" w:w="3118"/>
            <w:shd w:val="clear" w:color="auto" w:fill="EAF3FB"/>
          </w:tcPr>
          <w:p>
            <w:r/>
            <w:r>
              <w:rPr>
                <w:sz w:val="18"/>
              </w:rPr>
              <w:t>Stage 1 selected (p,q,r)</w:t>
            </w:r>
          </w:p>
        </w:tc>
        <w:tc>
          <w:tcPr>
            <w:tcW w:type="dxa" w:w="1984"/>
            <w:shd w:val="clear" w:color="auto" w:fill="EAF3FB"/>
          </w:tcPr>
          <w:p>
            <w:r/>
            <w:r>
              <w:rPr>
                <w:sz w:val="18"/>
              </w:rPr>
              <w:t>(1,0,0)</w:t>
            </w:r>
          </w:p>
        </w:tc>
        <w:tc>
          <w:tcPr>
            <w:tcW w:type="dxa" w:w="1984"/>
            <w:shd w:val="clear" w:color="auto" w:fill="EAF3FB"/>
          </w:tcPr>
          <w:p>
            <w:r/>
            <w:r>
              <w:rPr>
                <w:sz w:val="18"/>
              </w:rPr>
              <w:t>(after run)</w:t>
            </w:r>
          </w:p>
        </w:tc>
        <w:tc>
          <w:tcPr>
            <w:tcW w:type="dxa" w:w="850"/>
            <w:shd w:val="clear" w:color="auto" w:fill="EAF3FB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984"/>
            <w:shd w:val="clear" w:color="auto" w:fill="EAF3FB"/>
          </w:tcPr>
          <w:p>
            <w:r/>
            <w:r>
              <w:rPr>
                <w:sz w:val="18"/>
              </w:rPr>
              <w:t>(after run)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Stage 2 bounds F under (m=1,n=1)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n/a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(after run)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(after run)</w:t>
            </w:r>
          </w:p>
        </w:tc>
      </w:tr>
      <w:tr>
        <w:tc>
          <w:tcPr>
            <w:tcW w:type="dxa" w:w="3118"/>
            <w:shd w:val="clear" w:color="auto" w:fill="EAF3FB"/>
          </w:tcPr>
          <w:p>
            <w:r/>
            <w:r>
              <w:rPr>
                <w:sz w:val="18"/>
              </w:rPr>
              <w:t>Stage 2 cointegration verdict</w:t>
            </w:r>
          </w:p>
        </w:tc>
        <w:tc>
          <w:tcPr>
            <w:tcW w:type="dxa" w:w="1984"/>
            <w:shd w:val="clear" w:color="auto" w:fill="EAF3FB"/>
          </w:tcPr>
          <w:p>
            <w:r/>
            <w:r>
              <w:rPr>
                <w:sz w:val="18"/>
              </w:rPr>
              <w:t>inconclusive</w:t>
            </w:r>
          </w:p>
        </w:tc>
        <w:tc>
          <w:tcPr>
            <w:tcW w:type="dxa" w:w="1984"/>
            <w:shd w:val="clear" w:color="auto" w:fill="EAF3FB"/>
          </w:tcPr>
          <w:p>
            <w:r/>
            <w:r>
              <w:rPr>
                <w:sz w:val="18"/>
              </w:rPr>
              <w:t>(after run)</w:t>
            </w:r>
          </w:p>
        </w:tc>
        <w:tc>
          <w:tcPr>
            <w:tcW w:type="dxa" w:w="850"/>
            <w:shd w:val="clear" w:color="auto" w:fill="EAF3FB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984"/>
            <w:shd w:val="clear" w:color="auto" w:fill="EAF3FB"/>
          </w:tcPr>
          <w:p>
            <w:r/>
            <w:r>
              <w:rPr>
                <w:sz w:val="18"/>
              </w:rPr>
              <w:t>(after run)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Stage 1 NARDL→XGBoost RMSE log gap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0.0357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(after run)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(after run)</w:t>
            </w:r>
          </w:p>
        </w:tc>
      </w:tr>
      <w:tr>
        <w:tc>
          <w:tcPr>
            <w:tcW w:type="dxa" w:w="3118"/>
            <w:shd w:val="clear" w:color="auto" w:fill="EAF3FB"/>
          </w:tcPr>
          <w:p>
            <w:r/>
            <w:r>
              <w:rPr>
                <w:sz w:val="18"/>
              </w:rPr>
              <w:t>Stage 1 hybrid XGBoost vs NARDL DM p</w:t>
            </w:r>
          </w:p>
        </w:tc>
        <w:tc>
          <w:tcPr>
            <w:tcW w:type="dxa" w:w="1984"/>
            <w:shd w:val="clear" w:color="auto" w:fill="EAF3FB"/>
          </w:tcPr>
          <w:p>
            <w:r/>
            <w:r>
              <w:rPr>
                <w:sz w:val="18"/>
              </w:rPr>
              <w:t>&lt; 0.0001 (XGB loses)</w:t>
            </w:r>
          </w:p>
        </w:tc>
        <w:tc>
          <w:tcPr>
            <w:tcW w:type="dxa" w:w="1984"/>
            <w:shd w:val="clear" w:color="auto" w:fill="EAF3FB"/>
          </w:tcPr>
          <w:p>
            <w:r/>
            <w:r>
              <w:rPr>
                <w:sz w:val="18"/>
              </w:rPr>
              <w:t>(after run)</w:t>
            </w:r>
          </w:p>
        </w:tc>
        <w:tc>
          <w:tcPr>
            <w:tcW w:type="dxa" w:w="850"/>
            <w:shd w:val="clear" w:color="auto" w:fill="EAF3FB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984"/>
            <w:shd w:val="clear" w:color="auto" w:fill="EAF3FB"/>
          </w:tcPr>
          <w:p>
            <w:r/>
            <w:r>
              <w:rPr>
                <w:sz w:val="18"/>
              </w:rPr>
              <w:t>(after run)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Colombian vs NY: BIC gap (Stage 1)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−3.8 (Col preferred)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(after run)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(after run)</w:t>
            </w:r>
          </w:p>
        </w:tc>
      </w:tr>
    </w:tbl>
    <w:p/>
    <w:p>
      <w:pPr>
        <w:keepNext/>
        <w:spacing w:before="320" w:after="120"/>
      </w:pPr>
      <w:r>
        <w:rPr>
          <w:b/>
          <w:color w:val="1F3864"/>
          <w:sz w:val="32"/>
        </w:rPr>
        <w:t>5. Iteration 3 — candidate refinements (placeholder)</w:t>
      </w:r>
    </w:p>
    <w:p>
      <w:pPr>
        <w:jc w:val="both"/>
      </w:pPr>
      <w:r>
        <w:rPr>
          <w:sz w:val="20"/>
        </w:rPr>
        <w:t>Pending. Will be populated after iteration 2 results review identifies which iteration-1 limitations remain unresolved and which new questions iteration 2 raised. Strong a priori candidates for iteration 3 include: (a) feature-trim Stage 1 XGBoost using out-of-sample SHAP within rolling folds (deferred Tier 2.1); (b) recess-month auction interpolation (deferred Tier 3.2); (c) true Bai-Perron sequential supF in Python (deferred Tier 3.1); (d) any new limitation surfaced by iteration 2 results.</w:t>
      </w:r>
    </w:p>
    <w:p>
      <w:pPr>
        <w:keepNext/>
        <w:spacing w:before="320" w:after="120"/>
      </w:pPr>
      <w:r>
        <w:rPr>
          <w:b/>
          <w:color w:val="1F3864"/>
          <w:sz w:val="32"/>
        </w:rPr>
        <w:t>6. Iteration 2 Run Results (populated post-execution)</w:t>
      </w:r>
    </w:p>
    <w:p>
      <w:pPr>
        <w:jc w:val="both"/>
      </w:pPr>
      <w:r>
        <w:rPr>
          <w:sz w:val="20"/>
        </w:rPr>
        <w:t>The iteration-2 pipeline ran end-to-end in 12.5 minutes. All 8 steps completed. The iteration-2.1 break-dummy diagnostic was then run as a separate 5-second script. Headline results:</w:t>
      </w:r>
    </w:p>
    <w:p>
      <w:pPr>
        <w:keepNext/>
        <w:spacing w:before="240" w:after="80"/>
      </w:pPr>
      <w:r>
        <w:rPr>
          <w:b/>
          <w:color w:val="2E75B6"/>
          <w:sz w:val="26"/>
        </w:rPr>
        <w:t>6.1 Headline metric tracker (iteration 1 vs iteration 2)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311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Quantity</w:t>
            </w:r>
          </w:p>
        </w:tc>
        <w:tc>
          <w:tcPr>
            <w:tcW w:type="dxa" w:w="2551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Iteration 1</w:t>
            </w:r>
          </w:p>
        </w:tc>
        <w:tc>
          <w:tcPr>
            <w:tcW w:type="dxa" w:w="2551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Iteration 2</w:t>
            </w:r>
          </w:p>
        </w:tc>
        <w:tc>
          <w:tcPr>
            <w:tcW w:type="dxa" w:w="226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Verdict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Stage 1 NARDL (NY+FX) lag spec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(p,q,r)=(1,0,0) SBC-only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(1,2,0) BG-augmented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BG-aware extension fired</w:t>
            </w:r>
          </w:p>
        </w:tc>
      </w:tr>
      <w:tr>
        <w:tc>
          <w:tcPr>
            <w:tcW w:type="dxa" w:w="3118"/>
            <w:shd w:val="clear" w:color="auto" w:fill="EAF3FB"/>
          </w:tcPr>
          <w:p>
            <w:r/>
            <w:r>
              <w:rPr>
                <w:sz w:val="18"/>
              </w:rPr>
              <w:t>Stage 1 NARDL (NY+FX) BG(12) p</w:t>
            </w:r>
          </w:p>
        </w:tc>
        <w:tc>
          <w:tcPr>
            <w:tcW w:type="dxa" w:w="2551"/>
            <w:shd w:val="clear" w:color="auto" w:fill="EAF3FB"/>
          </w:tcPr>
          <w:p>
            <w:r/>
            <w:r>
              <w:rPr>
                <w:sz w:val="18"/>
              </w:rPr>
              <w:t>0.0001</w:t>
            </w:r>
          </w:p>
        </w:tc>
        <w:tc>
          <w:tcPr>
            <w:tcW w:type="dxa" w:w="2551"/>
            <w:shd w:val="clear" w:color="auto" w:fill="EAF3FB"/>
          </w:tcPr>
          <w:p>
            <w:r/>
            <w:r>
              <w:rPr>
                <w:sz w:val="18"/>
              </w:rPr>
              <w:t>0.0003</w:t>
            </w:r>
          </w:p>
        </w:tc>
        <w:tc>
          <w:tcPr>
            <w:tcW w:type="dxa" w:w="2268"/>
            <w:shd w:val="clear" w:color="auto" w:fill="EAF3FB"/>
          </w:tcPr>
          <w:p>
            <w:r/>
            <w:r>
              <w:rPr>
                <w:sz w:val="18"/>
              </w:rPr>
              <w:t>marginal improvement; still rejecting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Stage 1 bounds F (NY+FX)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16.95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18.07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stronger cointegration</w:t>
            </w:r>
          </w:p>
        </w:tc>
      </w:tr>
      <w:tr>
        <w:tc>
          <w:tcPr>
            <w:tcW w:type="dxa" w:w="3118"/>
            <w:shd w:val="clear" w:color="auto" w:fill="EAF3FB"/>
          </w:tcPr>
          <w:p>
            <w:r/>
            <w:r>
              <w:rPr>
                <w:sz w:val="18"/>
              </w:rPr>
              <w:t>Stage 1 L+ / L- (NY+FX)</w:t>
            </w:r>
          </w:p>
        </w:tc>
        <w:tc>
          <w:tcPr>
            <w:tcW w:type="dxa" w:w="2551"/>
            <w:shd w:val="clear" w:color="auto" w:fill="EAF3FB"/>
          </w:tcPr>
          <w:p>
            <w:r/>
            <w:r>
              <w:rPr>
                <w:sz w:val="18"/>
              </w:rPr>
              <w:t>0.825 / 0.697</w:t>
            </w:r>
          </w:p>
        </w:tc>
        <w:tc>
          <w:tcPr>
            <w:tcW w:type="dxa" w:w="2551"/>
            <w:shd w:val="clear" w:color="auto" w:fill="EAF3FB"/>
          </w:tcPr>
          <w:p>
            <w:r/>
            <w:r>
              <w:rPr>
                <w:sz w:val="18"/>
              </w:rPr>
              <w:t>0.834 / 0.704</w:t>
            </w:r>
          </w:p>
        </w:tc>
        <w:tc>
          <w:tcPr>
            <w:tcW w:type="dxa" w:w="2268"/>
            <w:shd w:val="clear" w:color="auto" w:fill="EAF3FB"/>
          </w:tcPr>
          <w:p>
            <w:r/>
            <w:r>
              <w:rPr>
                <w:sz w:val="18"/>
              </w:rPr>
              <w:t>asymmetry gap unchanged at 0.13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Stage 1 Wald LR p (asymmetry)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0.0002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0.0001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asymmetry decisively supported in baseline</w:t>
            </w:r>
          </w:p>
        </w:tc>
      </w:tr>
      <w:tr>
        <w:tc>
          <w:tcPr>
            <w:tcW w:type="dxa" w:w="3118"/>
            <w:shd w:val="clear" w:color="auto" w:fill="EAF3FB"/>
          </w:tcPr>
          <w:p>
            <w:r/>
            <w:r>
              <w:rPr>
                <w:sz w:val="18"/>
              </w:rPr>
              <w:t>Stage 1 Wald SR p (asymmetry)</w:t>
            </w:r>
          </w:p>
        </w:tc>
        <w:tc>
          <w:tcPr>
            <w:tcW w:type="dxa" w:w="2551"/>
            <w:shd w:val="clear" w:color="auto" w:fill="EAF3FB"/>
          </w:tcPr>
          <w:p>
            <w:r/>
            <w:r>
              <w:rPr>
                <w:sz w:val="18"/>
              </w:rPr>
              <w:t>0.0105</w:t>
            </w:r>
          </w:p>
        </w:tc>
        <w:tc>
          <w:tcPr>
            <w:tcW w:type="dxa" w:w="2551"/>
            <w:shd w:val="clear" w:color="auto" w:fill="EAF3FB"/>
          </w:tcPr>
          <w:p>
            <w:r/>
            <w:r>
              <w:rPr>
                <w:sz w:val="18"/>
              </w:rPr>
              <w:t>0.0573</w:t>
            </w:r>
          </w:p>
        </w:tc>
        <w:tc>
          <w:tcPr>
            <w:tcW w:type="dxa" w:w="2268"/>
            <w:shd w:val="clear" w:color="auto" w:fill="EAF3FB"/>
          </w:tcPr>
          <w:p>
            <w:r/>
            <w:r>
              <w:rPr>
                <w:sz w:val="18"/>
              </w:rPr>
              <w:t>softened to borderline due to wider q span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Stage 2 SBC pick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(0,0)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(0,0)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unchanged</w:t>
            </w:r>
          </w:p>
        </w:tc>
      </w:tr>
      <w:tr>
        <w:tc>
          <w:tcPr>
            <w:tcW w:type="dxa" w:w="3118"/>
            <w:shd w:val="clear" w:color="auto" w:fill="EAF3FB"/>
          </w:tcPr>
          <w:p>
            <w:r/>
            <w:r>
              <w:rPr>
                <w:sz w:val="18"/>
              </w:rPr>
              <w:t>Stage 2 forced (1,1) bounds F</w:t>
            </w:r>
          </w:p>
        </w:tc>
        <w:tc>
          <w:tcPr>
            <w:tcW w:type="dxa" w:w="2551"/>
            <w:shd w:val="clear" w:color="auto" w:fill="EAF3FB"/>
          </w:tcPr>
          <w:p>
            <w:r/>
            <w:r>
              <w:rPr>
                <w:sz w:val="18"/>
              </w:rPr>
              <w:t>n/a</w:t>
            </w:r>
          </w:p>
        </w:tc>
        <w:tc>
          <w:tcPr>
            <w:tcW w:type="dxa" w:w="2551"/>
            <w:shd w:val="clear" w:color="auto" w:fill="EAF3FB"/>
          </w:tcPr>
          <w:p>
            <w:r/>
            <w:r>
              <w:rPr>
                <w:sz w:val="18"/>
              </w:rPr>
              <w:t>2.69 (vs 3.85 SBC)</w:t>
            </w:r>
          </w:p>
        </w:tc>
        <w:tc>
          <w:tcPr>
            <w:tcW w:type="dxa" w:w="2268"/>
            <w:shd w:val="clear" w:color="auto" w:fill="EAF3FB"/>
          </w:tcPr>
          <w:p>
            <w:r/>
            <w:r>
              <w:rPr>
                <w:sz w:val="18"/>
              </w:rPr>
              <w:t>richer dynamics worse; SBC pick preferred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Stage 2 cointegration verdict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inconclusive (1 table)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inconclusive (3 tables)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robust to spec / table choice</w:t>
            </w:r>
          </w:p>
        </w:tc>
      </w:tr>
      <w:tr>
        <w:tc>
          <w:tcPr>
            <w:tcW w:type="dxa" w:w="3118"/>
            <w:shd w:val="clear" w:color="auto" w:fill="EAF3FB"/>
          </w:tcPr>
          <w:p>
            <w:r/>
            <w:r>
              <w:rPr>
                <w:sz w:val="18"/>
              </w:rPr>
              <w:t>Stage 1 NARDL→XGBoost RMSE log gap</w:t>
            </w:r>
          </w:p>
        </w:tc>
        <w:tc>
          <w:tcPr>
            <w:tcW w:type="dxa" w:w="2551"/>
            <w:shd w:val="clear" w:color="auto" w:fill="EAF3FB"/>
          </w:tcPr>
          <w:p>
            <w:r/>
            <w:r>
              <w:rPr>
                <w:sz w:val="18"/>
              </w:rPr>
              <w:t>0.036</w:t>
            </w:r>
          </w:p>
        </w:tc>
        <w:tc>
          <w:tcPr>
            <w:tcW w:type="dxa" w:w="2551"/>
            <w:shd w:val="clear" w:color="auto" w:fill="EAF3FB"/>
          </w:tcPr>
          <w:p>
            <w:r/>
            <w:r>
              <w:rPr>
                <w:sz w:val="18"/>
              </w:rPr>
              <w:t>0.017</w:t>
            </w:r>
          </w:p>
        </w:tc>
        <w:tc>
          <w:tcPr>
            <w:tcW w:type="dxa" w:w="2268"/>
            <w:shd w:val="clear" w:color="auto" w:fill="EAF3FB"/>
          </w:tcPr>
          <w:p>
            <w:r/>
            <w:r>
              <w:rPr>
                <w:sz w:val="18"/>
              </w:rPr>
              <w:t>52% reduction; gap remains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Stage 1 hybrid XGBoost vs NARDL DM p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&lt; 0.0001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0.013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still rejects at 5%; not at 1%</w:t>
            </w:r>
          </w:p>
        </w:tc>
      </w:tr>
      <w:tr>
        <w:tc>
          <w:tcPr>
            <w:tcW w:type="dxa" w:w="3118"/>
            <w:shd w:val="clear" w:color="auto" w:fill="EAF3FB"/>
          </w:tcPr>
          <w:p>
            <w:r/>
            <w:r>
              <w:rPr>
                <w:sz w:val="18"/>
              </w:rPr>
              <w:t>nardl_pred_t SHAP mass share</w:t>
            </w:r>
          </w:p>
        </w:tc>
        <w:tc>
          <w:tcPr>
            <w:tcW w:type="dxa" w:w="2551"/>
            <w:shd w:val="clear" w:color="auto" w:fill="EAF3FB"/>
          </w:tcPr>
          <w:p>
            <w:r/>
            <w:r>
              <w:rPr>
                <w:sz w:val="18"/>
              </w:rPr>
              <w:t>n/a</w:t>
            </w:r>
          </w:p>
        </w:tc>
        <w:tc>
          <w:tcPr>
            <w:tcW w:type="dxa" w:w="2551"/>
            <w:shd w:val="clear" w:color="auto" w:fill="EAF3FB"/>
          </w:tcPr>
          <w:p>
            <w:r/>
            <w:r>
              <w:rPr>
                <w:sz w:val="18"/>
              </w:rPr>
              <w:t>51%</w:t>
            </w:r>
          </w:p>
        </w:tc>
        <w:tc>
          <w:tcPr>
            <w:tcW w:type="dxa" w:w="2268"/>
            <w:shd w:val="clear" w:color="auto" w:fill="EAF3FB"/>
          </w:tcPr>
          <w:p>
            <w:r/>
            <w:r>
              <w:rPr>
                <w:sz w:val="18"/>
              </w:rPr>
              <w:t>dominates; structural features collapse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Colombian vs NY: BIC gap (Stage 1)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−3.8 (Col preferred)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+0.5 (essentially tied)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iter-1 finding nuanced; both defensible</w:t>
            </w:r>
          </w:p>
        </w:tc>
      </w:tr>
    </w:tbl>
    <w:p/>
    <w:p>
      <w:pPr>
        <w:keepNext/>
        <w:spacing w:before="240" w:after="80"/>
      </w:pPr>
      <w:r>
        <w:rPr>
          <w:b/>
          <w:color w:val="2E75B6"/>
          <w:sz w:val="26"/>
        </w:rPr>
        <w:t>6.2 Iteration 2.1 break-dummy diagnostic (Tier 3.3)</w:t>
      </w:r>
    </w:p>
    <w:p>
      <w:pPr>
        <w:jc w:val="both"/>
      </w:pPr>
      <w:r>
        <w:rPr>
          <w:sz w:val="20"/>
        </w:rPr>
        <w:t>The diagnostic re-estimated the iteration-2 NY+FX baseline with five Binseg-derived step dummies as exogenous controls in the level equation. The questions: (a) is the residual BG(12) serial correlation regime-driven, and (b) are the asymmetric long-run multipliers stable to break-dummy controls? The answers: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835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Quantity</w:t>
            </w:r>
          </w:p>
        </w:tc>
        <w:tc>
          <w:tcPr>
            <w:tcW w:type="dxa" w:w="1984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Iter-2 baseline</w:t>
            </w:r>
          </w:p>
        </w:tc>
        <w:tc>
          <w:tcPr>
            <w:tcW w:type="dxa" w:w="1984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Iter-2.1 + 5 dummies</w:t>
            </w:r>
          </w:p>
        </w:tc>
        <w:tc>
          <w:tcPr>
            <w:tcW w:type="dxa" w:w="2551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Δ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n_obs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296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296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2835"/>
            <w:shd w:val="clear" w:color="auto" w:fill="EAF3FB"/>
          </w:tcPr>
          <w:p>
            <w:r/>
            <w:r>
              <w:rPr>
                <w:sz w:val="18"/>
              </w:rPr>
              <w:t>(p,q,r)</w:t>
            </w:r>
          </w:p>
        </w:tc>
        <w:tc>
          <w:tcPr>
            <w:tcW w:type="dxa" w:w="1984"/>
            <w:shd w:val="clear" w:color="auto" w:fill="EAF3FB"/>
          </w:tcPr>
          <w:p>
            <w:r/>
            <w:r>
              <w:rPr>
                <w:sz w:val="18"/>
              </w:rPr>
              <w:t>(1,2,0)</w:t>
            </w:r>
          </w:p>
        </w:tc>
        <w:tc>
          <w:tcPr>
            <w:tcW w:type="dxa" w:w="1984"/>
            <w:shd w:val="clear" w:color="auto" w:fill="EAF3FB"/>
          </w:tcPr>
          <w:p>
            <w:r/>
            <w:r>
              <w:rPr>
                <w:sz w:val="18"/>
              </w:rPr>
              <w:t>(1,2,0)</w:t>
            </w:r>
          </w:p>
        </w:tc>
        <w:tc>
          <w:tcPr>
            <w:tcW w:type="dxa" w:w="2551"/>
            <w:shd w:val="clear" w:color="auto" w:fill="EAF3FB"/>
          </w:tcPr>
          <w:p>
            <w:r/>
            <w:r>
              <w:rPr>
                <w:sz w:val="18"/>
              </w:rPr>
              <w:t>no change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theta1 (conditional ECM)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−0.290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−0.348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more negative</w:t>
            </w:r>
          </w:p>
        </w:tc>
      </w:tr>
      <w:tr>
        <w:tc>
          <w:tcPr>
            <w:tcW w:type="dxa" w:w="2835"/>
            <w:shd w:val="clear" w:color="auto" w:fill="EAF3FB"/>
          </w:tcPr>
          <w:p>
            <w:r/>
            <w:r>
              <w:rPr>
                <w:sz w:val="18"/>
              </w:rPr>
              <w:t>L+ (positive-shock multiplier)</w:t>
            </w:r>
          </w:p>
        </w:tc>
        <w:tc>
          <w:tcPr>
            <w:tcW w:type="dxa" w:w="1984"/>
            <w:shd w:val="clear" w:color="auto" w:fill="EAF3FB"/>
          </w:tcPr>
          <w:p>
            <w:r/>
            <w:r>
              <w:rPr>
                <w:sz w:val="18"/>
              </w:rPr>
              <w:t>0.834</w:t>
            </w:r>
          </w:p>
        </w:tc>
        <w:tc>
          <w:tcPr>
            <w:tcW w:type="dxa" w:w="1984"/>
            <w:shd w:val="clear" w:color="auto" w:fill="EAF3FB"/>
          </w:tcPr>
          <w:p>
            <w:r/>
            <w:r>
              <w:rPr>
                <w:sz w:val="18"/>
              </w:rPr>
              <w:t>0.601</w:t>
            </w:r>
          </w:p>
        </w:tc>
        <w:tc>
          <w:tcPr>
            <w:tcW w:type="dxa" w:w="2551"/>
            <w:shd w:val="clear" w:color="auto" w:fill="EAF3FB"/>
          </w:tcPr>
          <w:p>
            <w:r/>
            <w:r>
              <w:rPr>
                <w:sz w:val="18"/>
              </w:rPr>
              <w:t>−0.234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L- (negative-shock multiplier)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0.704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0.622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−0.082</w:t>
            </w:r>
          </w:p>
        </w:tc>
      </w:tr>
      <w:tr>
        <w:tc>
          <w:tcPr>
            <w:tcW w:type="dxa" w:w="2835"/>
            <w:shd w:val="clear" w:color="auto" w:fill="EAF3FB"/>
          </w:tcPr>
          <w:p>
            <w:r/>
            <w:r>
              <w:rPr>
                <w:sz w:val="18"/>
              </w:rPr>
              <w:t>L+ − L- (asymmetry gap)</w:t>
            </w:r>
          </w:p>
        </w:tc>
        <w:tc>
          <w:tcPr>
            <w:tcW w:type="dxa" w:w="1984"/>
            <w:shd w:val="clear" w:color="auto" w:fill="EAF3FB"/>
          </w:tcPr>
          <w:p>
            <w:r/>
            <w:r>
              <w:rPr>
                <w:sz w:val="18"/>
              </w:rPr>
              <w:t>+0.130</w:t>
            </w:r>
          </w:p>
        </w:tc>
        <w:tc>
          <w:tcPr>
            <w:tcW w:type="dxa" w:w="1984"/>
            <w:shd w:val="clear" w:color="auto" w:fill="EAF3FB"/>
          </w:tcPr>
          <w:p>
            <w:r/>
            <w:r>
              <w:rPr>
                <w:sz w:val="18"/>
              </w:rPr>
              <w:t>−0.021</w:t>
            </w:r>
          </w:p>
        </w:tc>
        <w:tc>
          <w:tcPr>
            <w:tcW w:type="dxa" w:w="2551"/>
            <w:shd w:val="clear" w:color="auto" w:fill="EAF3FB"/>
          </w:tcPr>
          <w:p>
            <w:r/>
            <w:r>
              <w:rPr>
                <w:sz w:val="18"/>
              </w:rPr>
              <w:t>GAP COLLAPSES TO ~0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Wald LR p (asymmetry)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0.0001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0.6583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NO LONGER REJECTING</w:t>
            </w:r>
          </w:p>
        </w:tc>
      </w:tr>
      <w:tr>
        <w:tc>
          <w:tcPr>
            <w:tcW w:type="dxa" w:w="2835"/>
            <w:shd w:val="clear" w:color="auto" w:fill="EAF3FB"/>
          </w:tcPr>
          <w:p>
            <w:r/>
            <w:r>
              <w:rPr>
                <w:sz w:val="18"/>
              </w:rPr>
              <w:t>Bounds F</w:t>
            </w:r>
          </w:p>
        </w:tc>
        <w:tc>
          <w:tcPr>
            <w:tcW w:type="dxa" w:w="1984"/>
            <w:shd w:val="clear" w:color="auto" w:fill="EAF3FB"/>
          </w:tcPr>
          <w:p>
            <w:r/>
            <w:r>
              <w:rPr>
                <w:sz w:val="18"/>
              </w:rPr>
              <w:t>18.07</w:t>
            </w:r>
          </w:p>
        </w:tc>
        <w:tc>
          <w:tcPr>
            <w:tcW w:type="dxa" w:w="1984"/>
            <w:shd w:val="clear" w:color="auto" w:fill="EAF3FB"/>
          </w:tcPr>
          <w:p>
            <w:r/>
            <w:r>
              <w:rPr>
                <w:sz w:val="18"/>
              </w:rPr>
              <w:t>23.04</w:t>
            </w:r>
          </w:p>
        </w:tc>
        <w:tc>
          <w:tcPr>
            <w:tcW w:type="dxa" w:w="2551"/>
            <w:shd w:val="clear" w:color="auto" w:fill="EAF3FB"/>
          </w:tcPr>
          <w:p>
            <w:r/>
            <w:r>
              <w:rPr>
                <w:sz w:val="18"/>
              </w:rPr>
              <w:t>+5.0 (cointegration tightens)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BDM t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−7.15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−8.02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stronger</w:t>
            </w:r>
          </w:p>
        </w:tc>
      </w:tr>
      <w:tr>
        <w:tc>
          <w:tcPr>
            <w:tcW w:type="dxa" w:w="2835"/>
            <w:shd w:val="clear" w:color="auto" w:fill="EAF3FB"/>
          </w:tcPr>
          <w:p>
            <w:r/>
            <w:r>
              <w:rPr>
                <w:sz w:val="18"/>
              </w:rPr>
              <w:t>BG(12) p</w:t>
            </w:r>
          </w:p>
        </w:tc>
        <w:tc>
          <w:tcPr>
            <w:tcW w:type="dxa" w:w="1984"/>
            <w:shd w:val="clear" w:color="auto" w:fill="EAF3FB"/>
          </w:tcPr>
          <w:p>
            <w:r/>
            <w:r>
              <w:rPr>
                <w:sz w:val="18"/>
              </w:rPr>
              <w:t>0.0003</w:t>
            </w:r>
          </w:p>
        </w:tc>
        <w:tc>
          <w:tcPr>
            <w:tcW w:type="dxa" w:w="1984"/>
            <w:shd w:val="clear" w:color="auto" w:fill="EAF3FB"/>
          </w:tcPr>
          <w:p>
            <w:r/>
            <w:r>
              <w:rPr>
                <w:sz w:val="18"/>
              </w:rPr>
              <w:t>0.0035</w:t>
            </w:r>
          </w:p>
        </w:tc>
        <w:tc>
          <w:tcPr>
            <w:tcW w:type="dxa" w:w="2551"/>
            <w:shd w:val="clear" w:color="auto" w:fill="EAF3FB"/>
          </w:tcPr>
          <w:p>
            <w:r/>
            <w:r>
              <w:rPr>
                <w:sz w:val="18"/>
              </w:rPr>
              <w:t>+0.003 — STILL REJECTING at 1%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BIC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−279.0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−268.2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+10.8 — break dummies disfavoured</w:t>
            </w:r>
          </w:p>
        </w:tc>
      </w:tr>
    </w:tbl>
    <w:p/>
    <w:p>
      <w:pPr>
        <w:keepNext/>
        <w:spacing w:before="240" w:after="80"/>
      </w:pPr>
      <w:r>
        <w:rPr>
          <w:b/>
          <w:color w:val="2E75B6"/>
          <w:sz w:val="26"/>
        </w:rPr>
        <w:t>6.3 Substantive interpretation of the diagnostic</w:t>
      </w:r>
    </w:p>
    <w:p>
      <w:pPr>
        <w:jc w:val="both"/>
      </w:pPr>
      <w:r>
        <w:rPr>
          <w:sz w:val="20"/>
        </w:rPr>
        <w:t>Two findings and a third tension. (1) The BG(12) residual serial correlation is NOT regime-driven; even with five break dummies absorbing the major regime-level shifts, BG(12) p moves only from 0.0003 to 0.0035 and still rejects at 1%. The residual autocorrelation reflects something else — most plausibly volatility clustering or unmodelled nonlinear dynamics that the NARDL framework cannot capture — and is reported as a known limitation of the Stage 1 specification with HAC standard errors providing partial mitigation.</w:t>
      </w:r>
    </w:p>
    <w:p>
      <w:pPr>
        <w:jc w:val="both"/>
      </w:pPr>
      <w:r>
        <w:rPr>
          <w:sz w:val="20"/>
        </w:rPr>
        <w:t>(2) The cointegration verdict tightens (bounds F up to 23.04), confirming that the iteration-2 cointegration finding is robust to break-dummy controls.</w:t>
      </w:r>
    </w:p>
    <w:p>
      <w:pPr>
        <w:jc w:val="both"/>
      </w:pPr>
      <w:r>
        <w:rPr>
          <w:sz w:val="20"/>
        </w:rPr>
        <w:t>(3) The third finding requires careful handling. The asymmetric long-run multipliers L+ and L- are sensitive to break-dummy inclusion. Three interpretations are defensible: (A) iteration-2 baseline asymmetry is the true pattern and the dummies over-control because BIC strongly disfavours them (−279 vs −268, an 11-unit penalty); (B) the diagnostic asymmetry is the true pattern and baseline is regime-confounded; (C) both are valid, with the asymmetric pass-through being more pronounced during regime-shift periods (1999 collapse, 2008–2011 boom, 2020–2022 surge) than during calm periods, so that the dummies absorb high-asymmetry variance and the residual asymmetry is the calm-regime average.</w:t>
      </w:r>
    </w:p>
    <w:p>
      <w:pPr>
        <w:jc w:val="both"/>
      </w:pPr>
      <w:r>
        <w:rPr>
          <w:sz w:val="20"/>
        </w:rPr>
        <w:t>Chapter 4 adopts Interpretation A as the headline framing on Schwarz Bayesian grounds, with Interpretation C noted as the most economically plausible explanation of the diagnostic sensitivity. The break-dummy diagnostic is reported as evidence that the asymmetric pattern is more pronounced during regime-shift periods than during calm periods — a defensible substantive nuance rather than a refutation of the iteration-2 baseline finding.</w:t>
      </w:r>
    </w:p>
    <w:p>
      <w:pPr>
        <w:keepNext/>
        <w:spacing w:before="240" w:after="80"/>
      </w:pPr>
      <w:r>
        <w:rPr>
          <w:b/>
          <w:color w:val="2E75B6"/>
          <w:sz w:val="26"/>
        </w:rPr>
        <w:t>6.4 Iteration audit summary</w:t>
      </w:r>
    </w:p>
    <w:p>
      <w:pPr>
        <w:jc w:val="both"/>
      </w:pPr>
      <w:r>
        <w:rPr>
          <w:sz w:val="20"/>
        </w:rPr>
        <w:t>Iteration 2 succeeded at the four methodological objectives: BG-aware lag selection is now in production (change 1.1); Stage 2 cointegration verdict is reported under three critical-value tables (changes 1.2 + 3.4); Colombian Milds is a co-baseline alongside NY (change 1.3); FX-included and FX-free are co-baselines (change 1.4); the hybrid XGBoost feature is the cleanest test of structural near-sufficiency we can construct (change 2.2).</w:t>
      </w:r>
    </w:p>
    <w:p>
      <w:pPr>
        <w:jc w:val="both"/>
      </w:pPr>
      <w:r>
        <w:rPr>
          <w:sz w:val="20"/>
        </w:rPr>
        <w:t>Iteration 2 partially resolved the BG(12) limitation: the BG-aware extension reduced the test statistic but did not push p above 5%, and the iteration-2.1 diagnostic showed the residual SC is not regime-driven. The known limitation is therefore framed transparently in Chapter 4 §4.3 and Chapter 3 §3.8, with HAC standard errors providing partial mitigation. This is the cleanest available outcome short of moving to a NARDL-X or volatility-aware specification, which is flagged as iteration-3 candidate work.</w:t>
      </w:r>
    </w:p>
    <w:p>
      <w:pPr>
        <w:jc w:val="both"/>
      </w:pPr>
      <w:r>
        <w:rPr>
          <w:sz w:val="20"/>
        </w:rPr>
        <w:t>Iteration 2 sharpened rather than overturned iteration-1 substantive findings. The asymmetric pass-through verdict, the cointegration verdicts, and the NARDL near-sufficiency claim all hold, with appropriate refinements: the asymmetry is supported in the iteration-2 NY+FX baseline (p = 0.0001) but break-dummy-sensitive (p = 0.66 with five dummies), Stage 2 cointegration remains inconclusive across three critical-value tables, and the hybrid XGBoost narrows the NARDL gap by 52% without closing it (DM p = 0.013).</w:t>
      </w:r>
    </w:p>
    <w:p>
      <w:pPr>
        <w:keepNext/>
        <w:spacing w:before="240" w:after="80"/>
      </w:pPr>
      <w:r>
        <w:rPr>
          <w:b/>
          <w:color w:val="2E75B6"/>
          <w:sz w:val="26"/>
        </w:rPr>
        <w:t>6.5 Iteration 3 — candidate refinements</w:t>
      </w:r>
    </w:p>
    <w:p>
      <w:pPr>
        <w:jc w:val="both"/>
      </w:pPr>
      <w:r>
        <w:rPr>
          <w:sz w:val="20"/>
        </w:rPr>
        <w:t>Three candidate refinements emerge from iteration 2 results, all deferred pending Chapter 4 sign-off:</w:t>
      </w:r>
    </w:p>
    <w:p>
      <w:pPr>
        <w:jc w:val="both"/>
      </w:pPr>
      <w:r>
        <w:rPr>
          <w:sz w:val="20"/>
        </w:rPr>
        <w:t>• 3.1 (deferred Tier 2.1): out-of-sample-SHAP-driven Stage 1 feature selection within rolling-origin folds. The iteration-2 hybrid SHAP shows nardl_pred_t carrying 51% of feature mass and structural features collapsing — the catalogue could be trimmed.</w:t>
      </w:r>
    </w:p>
    <w:p>
      <w:pPr>
        <w:jc w:val="both"/>
      </w:pPr>
      <w:r>
        <w:rPr>
          <w:sz w:val="20"/>
        </w:rPr>
        <w:t>• 3.2 (new): GARCH-aware Stage 1 NARDL or NARDL-X specification to address the non-regime-driven BG(12) residual autocorrelation surfaced by iteration 2.1.</w:t>
      </w:r>
    </w:p>
    <w:p>
      <w:pPr>
        <w:jc w:val="both"/>
      </w:pPr>
      <w:r>
        <w:rPr>
          <w:sz w:val="20"/>
        </w:rPr>
        <w:t>• 3.3 (deferred Tier 3.1): true Bai-Perron sequential supF in pure Python, replacing the ruptures Binseg approximation. Substantive verdicts unlikely to change but methodological credibility improves.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