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D72E5" w14:textId="77777777" w:rsidR="00334E5A" w:rsidRDefault="00334E5A"/>
    <w:p w14:paraId="5BA1CBAF" w14:textId="2CD0CF3E" w:rsidR="008A17DE" w:rsidRDefault="008A17DE" w:rsidP="008A17DE">
      <w:pPr>
        <w:jc w:val="center"/>
        <w:rPr>
          <w:u w:val="single"/>
        </w:rPr>
      </w:pPr>
      <w:r w:rsidRPr="008A17DE">
        <w:rPr>
          <w:u w:val="single"/>
        </w:rPr>
        <w:t xml:space="preserve">Projektwoche </w:t>
      </w:r>
    </w:p>
    <w:p w14:paraId="0052955D" w14:textId="284A3E4F" w:rsidR="008A17DE" w:rsidRDefault="008A17DE" w:rsidP="008A17DE">
      <w:pPr>
        <w:rPr>
          <w:b/>
          <w:bCs/>
        </w:rPr>
      </w:pPr>
      <w:r w:rsidRPr="008A17DE">
        <w:rPr>
          <w:b/>
          <w:bCs/>
        </w:rPr>
        <w:t>Aufgabenstellung:</w:t>
      </w:r>
    </w:p>
    <w:p w14:paraId="438F259B" w14:textId="77777777" w:rsidR="008A17DE" w:rsidRDefault="008A17DE" w:rsidP="008A17DE">
      <w:pPr>
        <w:pStyle w:val="Listenabsatz"/>
        <w:numPr>
          <w:ilvl w:val="0"/>
          <w:numId w:val="1"/>
        </w:numPr>
        <w:suppressAutoHyphens/>
        <w:autoSpaceDN w:val="0"/>
        <w:spacing w:line="276" w:lineRule="auto"/>
      </w:pPr>
      <w:r>
        <w:t xml:space="preserve">Modellieren Sie einen Prototypen für den Währungsrechner. Überlegen Sie sich dazu, wie die </w:t>
      </w:r>
      <w:proofErr w:type="spellStart"/>
      <w:r>
        <w:t>Useability</w:t>
      </w:r>
      <w:proofErr w:type="spellEnd"/>
      <w:r>
        <w:t xml:space="preserve"> der App funktionieren soll.</w:t>
      </w:r>
      <w:r>
        <w:br/>
        <w:t>Soll sofort ein mögliches Ergebnis angezeigt werden, oder soll der User erst noch auf einen Button klicken?</w:t>
      </w:r>
    </w:p>
    <w:p w14:paraId="65A27FAD" w14:textId="77777777" w:rsidR="008A17DE" w:rsidRDefault="008A17DE" w:rsidP="008A17DE">
      <w:pPr>
        <w:pStyle w:val="Listenabsatz"/>
      </w:pPr>
      <w:r>
        <w:t>Welche Eingaben sollen möglich sein, welche müssen abgefangen werden?</w:t>
      </w:r>
    </w:p>
    <w:p w14:paraId="6964F09D" w14:textId="77777777" w:rsidR="008A17DE" w:rsidRDefault="008A17DE" w:rsidP="008A17DE">
      <w:pPr>
        <w:pStyle w:val="Listenabsatz"/>
        <w:pBdr>
          <w:bottom w:val="single" w:sz="6" w:space="1" w:color="auto"/>
        </w:pBdr>
      </w:pPr>
    </w:p>
    <w:p w14:paraId="6046BDEF" w14:textId="77777777" w:rsidR="008A17DE" w:rsidRDefault="008A17DE" w:rsidP="008A17DE">
      <w:pPr>
        <w:pStyle w:val="Listenabsatz"/>
      </w:pPr>
    </w:p>
    <w:p w14:paraId="14188F5C" w14:textId="77777777" w:rsid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1. Usability-Überlegungen</w:t>
      </w:r>
    </w:p>
    <w:p w14:paraId="7AA9BC1E" w14:textId="77777777" w:rsidR="008A17DE" w:rsidRPr="008A17DE" w:rsidRDefault="008A17DE" w:rsidP="008A17DE">
      <w:pPr>
        <w:pStyle w:val="Listenabsatz"/>
        <w:rPr>
          <w:b/>
          <w:bCs/>
        </w:rPr>
      </w:pPr>
    </w:p>
    <w:p w14:paraId="0D40779E" w14:textId="7CAB08C3" w:rsidR="008A17DE" w:rsidRP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Benutzeroberfläche</w:t>
      </w:r>
    </w:p>
    <w:p w14:paraId="7D39AEE7" w14:textId="77777777" w:rsidR="008A17DE" w:rsidRPr="008A17DE" w:rsidRDefault="008A17DE" w:rsidP="008A17DE">
      <w:pPr>
        <w:pStyle w:val="Listenabsatz"/>
        <w:numPr>
          <w:ilvl w:val="0"/>
          <w:numId w:val="2"/>
        </w:numPr>
        <w:rPr>
          <w:u w:val="single"/>
        </w:rPr>
      </w:pPr>
      <w:r w:rsidRPr="008A17DE">
        <w:rPr>
          <w:b/>
          <w:bCs/>
          <w:u w:val="single"/>
        </w:rPr>
        <w:t>Eingabefelder</w:t>
      </w:r>
      <w:r w:rsidRPr="008A17DE">
        <w:rPr>
          <w:u w:val="single"/>
        </w:rPr>
        <w:t>:</w:t>
      </w:r>
    </w:p>
    <w:p w14:paraId="28F7D133" w14:textId="77777777" w:rsidR="008A17DE" w:rsidRPr="008A17DE" w:rsidRDefault="008A17DE" w:rsidP="008A17DE">
      <w:pPr>
        <w:pStyle w:val="Listenabsatz"/>
        <w:numPr>
          <w:ilvl w:val="1"/>
          <w:numId w:val="2"/>
        </w:numPr>
      </w:pPr>
      <w:r w:rsidRPr="008A17DE">
        <w:t>Ein Textfeld zur Eingabe des Betrags, der umgerechnet werden soll.</w:t>
      </w:r>
    </w:p>
    <w:p w14:paraId="46215FFA" w14:textId="77777777" w:rsidR="008A17DE" w:rsidRDefault="008A17DE" w:rsidP="008A17DE">
      <w:pPr>
        <w:pStyle w:val="Listenabsatz"/>
        <w:numPr>
          <w:ilvl w:val="1"/>
          <w:numId w:val="2"/>
        </w:numPr>
      </w:pPr>
      <w:r w:rsidRPr="008A17DE">
        <w:t>Dropdown-Menüs zur Auswahl der Quell- und Zielwährung (z.B. Euro, US-Dollar, Mexikanische Pesos, Türkische Lira).</w:t>
      </w:r>
    </w:p>
    <w:p w14:paraId="5DDB6B6E" w14:textId="77777777" w:rsidR="008A17DE" w:rsidRPr="008A17DE" w:rsidRDefault="008A17DE" w:rsidP="008A17DE">
      <w:pPr>
        <w:pStyle w:val="Listenabsatz"/>
      </w:pPr>
    </w:p>
    <w:p w14:paraId="096BDA7B" w14:textId="77777777" w:rsidR="008A17DE" w:rsidRP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Interaktion</w:t>
      </w:r>
    </w:p>
    <w:p w14:paraId="008BACE3" w14:textId="5C5F94A7" w:rsidR="008A17DE" w:rsidRPr="008A17DE" w:rsidRDefault="008A17DE" w:rsidP="008A17DE">
      <w:pPr>
        <w:pStyle w:val="Listenabsatz"/>
        <w:numPr>
          <w:ilvl w:val="0"/>
          <w:numId w:val="3"/>
        </w:numPr>
      </w:pPr>
      <w:r>
        <w:rPr>
          <w:b/>
          <w:bCs/>
        </w:rPr>
        <w:t>Sofortige-</w:t>
      </w:r>
      <w:r w:rsidRPr="008A17DE">
        <w:rPr>
          <w:b/>
          <w:bCs/>
        </w:rPr>
        <w:t>Berechnung</w:t>
      </w:r>
      <w:r w:rsidRPr="008A17DE">
        <w:t>:</w:t>
      </w:r>
    </w:p>
    <w:p w14:paraId="41E0259E" w14:textId="48FF72F7" w:rsidR="008A17DE" w:rsidRPr="008A17DE" w:rsidRDefault="008A17DE" w:rsidP="008A17DE">
      <w:pPr>
        <w:pStyle w:val="Listenabsatz"/>
        <w:numPr>
          <w:ilvl w:val="1"/>
          <w:numId w:val="3"/>
        </w:numPr>
      </w:pPr>
      <w:r w:rsidRPr="008A17DE">
        <w:t xml:space="preserve">Das Ergebnis sollte sofort angezeigt werden, wenn </w:t>
      </w:r>
      <w:r>
        <w:t>man</w:t>
      </w:r>
      <w:r w:rsidRPr="008A17DE">
        <w:t xml:space="preserve"> den Betrag eingibt oder eine Währung auswählt. Dies </w:t>
      </w:r>
      <w:r>
        <w:t>spart Zeit</w:t>
      </w:r>
      <w:r w:rsidRPr="008A17DE">
        <w:t>, da der Benutzer sofort sieht, wie sich seine Eingaben auf das Ergebnis auswirken.</w:t>
      </w:r>
    </w:p>
    <w:p w14:paraId="3B56CBAD" w14:textId="77777777" w:rsidR="008A17DE" w:rsidRPr="008A17DE" w:rsidRDefault="008A17DE" w:rsidP="008A17DE">
      <w:pPr>
        <w:pStyle w:val="Listenabsatz"/>
      </w:pPr>
    </w:p>
    <w:p w14:paraId="5638714E" w14:textId="07EC15D2" w:rsidR="008A17DE" w:rsidRPr="008A17DE" w:rsidRDefault="008A17DE" w:rsidP="008A17DE">
      <w:pPr>
        <w:pStyle w:val="Listenabsatz"/>
        <w:numPr>
          <w:ilvl w:val="0"/>
          <w:numId w:val="3"/>
        </w:numPr>
      </w:pPr>
      <w:r w:rsidRPr="008A17DE">
        <w:rPr>
          <w:b/>
          <w:bCs/>
        </w:rPr>
        <w:t>Button für Umrechnung</w:t>
      </w:r>
      <w:r w:rsidRPr="008A17DE">
        <w:t>:</w:t>
      </w:r>
    </w:p>
    <w:p w14:paraId="3051A940" w14:textId="4BE25D60" w:rsidR="008A17DE" w:rsidRDefault="008A17DE" w:rsidP="008A17DE">
      <w:pPr>
        <w:pStyle w:val="Listenabsatz"/>
        <w:numPr>
          <w:ilvl w:val="1"/>
          <w:numId w:val="3"/>
        </w:numPr>
      </w:pPr>
      <w:r w:rsidRPr="008A17DE">
        <w:t xml:space="preserve">Optional kann ein Button "Umrechnen" hinzugefügt werden, um die Berechnung manuell auszulösen. Dies könnte nützlich sein, wenn </w:t>
      </w:r>
      <w:r>
        <w:t>man</w:t>
      </w:r>
      <w:r w:rsidRPr="008A17DE">
        <w:t xml:space="preserve"> mehrere Änderungen an den Eingaben vorgenommen hat und nicht möchte, dass das Ergebnis bei jeder kleinen Änderung aktualisiert wird.</w:t>
      </w:r>
    </w:p>
    <w:p w14:paraId="35B7C0EC" w14:textId="77777777" w:rsidR="008A17DE" w:rsidRPr="008A17DE" w:rsidRDefault="008A17DE" w:rsidP="008A17DE">
      <w:pPr>
        <w:pStyle w:val="Listenabsatz"/>
        <w:ind w:left="1440"/>
      </w:pPr>
    </w:p>
    <w:p w14:paraId="47D6CCF3" w14:textId="77777777" w:rsidR="008A17DE" w:rsidRP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Eingaben</w:t>
      </w:r>
    </w:p>
    <w:p w14:paraId="168151CF" w14:textId="77777777" w:rsidR="008A17DE" w:rsidRPr="008A17DE" w:rsidRDefault="008A17DE" w:rsidP="008A17DE">
      <w:pPr>
        <w:pStyle w:val="Listenabsatz"/>
        <w:numPr>
          <w:ilvl w:val="0"/>
          <w:numId w:val="4"/>
        </w:numPr>
      </w:pPr>
      <w:r w:rsidRPr="008A17DE">
        <w:rPr>
          <w:b/>
          <w:bCs/>
        </w:rPr>
        <w:t>Mögliche Eingaben</w:t>
      </w:r>
      <w:r w:rsidRPr="008A17DE">
        <w:t>:</w:t>
      </w:r>
    </w:p>
    <w:p w14:paraId="7A2C2945" w14:textId="1110C943" w:rsidR="008A17DE" w:rsidRPr="008A17DE" w:rsidRDefault="008A17DE" w:rsidP="008A17DE">
      <w:pPr>
        <w:pStyle w:val="Listenabsatz"/>
        <w:numPr>
          <w:ilvl w:val="1"/>
          <w:numId w:val="4"/>
        </w:numPr>
      </w:pPr>
      <w:r w:rsidRPr="008A17DE">
        <w:t>Betrag (</w:t>
      </w:r>
      <w:r>
        <w:t>Zahl</w:t>
      </w:r>
      <w:r w:rsidRPr="008A17DE">
        <w:t>)</w:t>
      </w:r>
    </w:p>
    <w:p w14:paraId="0B382951" w14:textId="77777777" w:rsidR="008A17DE" w:rsidRPr="008A17DE" w:rsidRDefault="008A17DE" w:rsidP="008A17DE">
      <w:pPr>
        <w:pStyle w:val="Listenabsatz"/>
        <w:numPr>
          <w:ilvl w:val="1"/>
          <w:numId w:val="4"/>
        </w:numPr>
      </w:pPr>
      <w:r w:rsidRPr="008A17DE">
        <w:t>Quellwährung (z.B. EUR)</w:t>
      </w:r>
    </w:p>
    <w:p w14:paraId="0495B59D" w14:textId="77777777" w:rsidR="008A17DE" w:rsidRPr="008A17DE" w:rsidRDefault="008A17DE" w:rsidP="008A17DE">
      <w:pPr>
        <w:pStyle w:val="Listenabsatz"/>
        <w:numPr>
          <w:ilvl w:val="1"/>
          <w:numId w:val="4"/>
        </w:numPr>
      </w:pPr>
      <w:r w:rsidRPr="008A17DE">
        <w:t>Zielwährung (z.B. USD)</w:t>
      </w:r>
    </w:p>
    <w:p w14:paraId="7E64E973" w14:textId="77777777" w:rsidR="008A17DE" w:rsidRPr="008A17DE" w:rsidRDefault="008A17DE" w:rsidP="008A17DE">
      <w:pPr>
        <w:pStyle w:val="Listenabsatz"/>
        <w:numPr>
          <w:ilvl w:val="0"/>
          <w:numId w:val="4"/>
        </w:numPr>
      </w:pPr>
      <w:r w:rsidRPr="008A17DE">
        <w:rPr>
          <w:b/>
          <w:bCs/>
        </w:rPr>
        <w:t>Validierung</w:t>
      </w:r>
      <w:r w:rsidRPr="008A17DE">
        <w:t>:</w:t>
      </w:r>
    </w:p>
    <w:p w14:paraId="005CE16F" w14:textId="77777777" w:rsidR="008A17DE" w:rsidRPr="008A17DE" w:rsidRDefault="008A17DE" w:rsidP="008A17DE">
      <w:pPr>
        <w:pStyle w:val="Listenabsatz"/>
        <w:numPr>
          <w:ilvl w:val="1"/>
          <w:numId w:val="4"/>
        </w:numPr>
      </w:pPr>
      <w:r w:rsidRPr="008A17DE">
        <w:t>Der Betrag muss eine gültige Zahl sein (keine negativen Werte oder ungültigen Zeichen).</w:t>
      </w:r>
    </w:p>
    <w:p w14:paraId="06410E29" w14:textId="77777777" w:rsidR="008A17DE" w:rsidRDefault="008A17DE" w:rsidP="008A17DE">
      <w:pPr>
        <w:pStyle w:val="Listenabsatz"/>
        <w:numPr>
          <w:ilvl w:val="1"/>
          <w:numId w:val="4"/>
        </w:numPr>
      </w:pPr>
      <w:r w:rsidRPr="008A17DE">
        <w:t>Wenn der Benutzer versucht, zwei gleiche Währungen auszuwählen (z.B. EUR zu EUR), sollte eine Warnung angezeigt werden: "Die Quell- und Zielwährung sind identisch."</w:t>
      </w:r>
    </w:p>
    <w:p w14:paraId="37C2CC00" w14:textId="77777777" w:rsidR="008A17DE" w:rsidRPr="008A17DE" w:rsidRDefault="008A17DE" w:rsidP="008A17DE">
      <w:pPr>
        <w:pStyle w:val="Listenabsatz"/>
        <w:ind w:left="1440"/>
      </w:pPr>
    </w:p>
    <w:p w14:paraId="08C8DC2B" w14:textId="77777777" w:rsidR="008A17DE" w:rsidRP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Fehlerbehandlung</w:t>
      </w:r>
    </w:p>
    <w:p w14:paraId="1CB311FC" w14:textId="77777777" w:rsidR="008A17DE" w:rsidRPr="008A17DE" w:rsidRDefault="008A17DE" w:rsidP="008A17DE">
      <w:pPr>
        <w:pStyle w:val="Listenabsatz"/>
        <w:numPr>
          <w:ilvl w:val="0"/>
          <w:numId w:val="5"/>
        </w:numPr>
      </w:pPr>
      <w:r w:rsidRPr="008A17DE">
        <w:t>Bei ungültigen Eingaben sollte eine Fehlermeldung angezeigt werden.</w:t>
      </w:r>
    </w:p>
    <w:p w14:paraId="1CC5B239" w14:textId="77777777" w:rsidR="008A17DE" w:rsidRPr="008A17DE" w:rsidRDefault="008A17DE" w:rsidP="008A17DE">
      <w:pPr>
        <w:pStyle w:val="Listenabsatz"/>
        <w:numPr>
          <w:ilvl w:val="0"/>
          <w:numId w:val="5"/>
        </w:numPr>
      </w:pPr>
      <w:r w:rsidRPr="008A17DE">
        <w:t>Bei einer Division durch Null (z.B. wenn der Umrechnungskurs nicht verfügbar ist) sollte ebenfalls eine entsprechende Fehlermeldung ausgegeben werden.</w:t>
      </w:r>
    </w:p>
    <w:p w14:paraId="0C6DAC8A" w14:textId="77777777" w:rsidR="008A17DE" w:rsidRDefault="008A17DE" w:rsidP="008A17DE">
      <w:pPr>
        <w:pStyle w:val="Listenabsatz"/>
      </w:pPr>
    </w:p>
    <w:p w14:paraId="262718C4" w14:textId="77777777" w:rsidR="008A17DE" w:rsidRDefault="008A17DE" w:rsidP="008A17DE">
      <w:pPr>
        <w:pStyle w:val="Listenabsatz"/>
        <w:numPr>
          <w:ilvl w:val="0"/>
          <w:numId w:val="1"/>
        </w:numPr>
        <w:pBdr>
          <w:bottom w:val="single" w:sz="6" w:space="1" w:color="auto"/>
        </w:pBdr>
        <w:suppressAutoHyphens/>
        <w:autoSpaceDN w:val="0"/>
        <w:spacing w:line="276" w:lineRule="auto"/>
      </w:pPr>
      <w:r>
        <w:t>Recherchieren Sie die aktuellen Umrechnungskurse und notieren Sie sich für jeden möglichen Fall Testwerte, mit denen Sie ihr Programm prüfen können.</w:t>
      </w:r>
      <w:r>
        <w:br/>
        <w:t>EUR-&gt; USD, USD -&gt;GBP usw. Was soll passieren, wenn zwei gleiche Währungen ausgewählt werden?</w:t>
      </w:r>
    </w:p>
    <w:p w14:paraId="199FCF71" w14:textId="77777777" w:rsidR="008A17DE" w:rsidRDefault="008A17DE" w:rsidP="008A17DE">
      <w:pPr>
        <w:pStyle w:val="Listenabsatz"/>
      </w:pPr>
    </w:p>
    <w:p w14:paraId="66546CAE" w14:textId="77777777" w:rsidR="008A17DE" w:rsidRDefault="008A17DE" w:rsidP="008A17DE">
      <w:pPr>
        <w:pStyle w:val="Listenabsatz"/>
      </w:pPr>
    </w:p>
    <w:p w14:paraId="38220B63" w14:textId="113657A0" w:rsidR="008A17DE" w:rsidRDefault="008A17DE" w:rsidP="008A17DE">
      <w:pPr>
        <w:pStyle w:val="Listenabsatz"/>
        <w:numPr>
          <w:ilvl w:val="0"/>
          <w:numId w:val="1"/>
        </w:numPr>
        <w:rPr>
          <w:b/>
          <w:bCs/>
        </w:rPr>
      </w:pPr>
      <w:r w:rsidRPr="008A17DE">
        <w:rPr>
          <w:b/>
          <w:bCs/>
        </w:rPr>
        <w:t>Aktuelle Umrechnungskurse</w:t>
      </w:r>
    </w:p>
    <w:p w14:paraId="0D1BAAC3" w14:textId="160510CF" w:rsidR="008A17DE" w:rsidRPr="008A17DE" w:rsidRDefault="008A17DE" w:rsidP="008A17DE"/>
    <w:tbl>
      <w:tblPr>
        <w:tblW w:w="89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4838"/>
      </w:tblGrid>
      <w:tr w:rsidR="008A17DE" w:rsidRPr="008A17DE" w14:paraId="41F9AAC0" w14:textId="77777777" w:rsidTr="008A17DE">
        <w:trPr>
          <w:tblHeader/>
        </w:trPr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972AD7D" w14:textId="77777777" w:rsidR="008A17DE" w:rsidRPr="008A17DE" w:rsidRDefault="008A17DE" w:rsidP="008A17DE">
            <w:pPr>
              <w:pStyle w:val="Listenabsatz"/>
              <w:rPr>
                <w:b/>
                <w:bCs/>
                <w14:glow w14:rad="101600">
                  <w14:srgbClr w14:val="FF0000">
                    <w14:alpha w14:val="40000"/>
                  </w14:srgbClr>
                </w14:glow>
              </w:rPr>
            </w:pPr>
            <w:r w:rsidRPr="008A17DE">
              <w:rPr>
                <w:b/>
                <w:bCs/>
                <w14:glow w14:rad="101600">
                  <w14:srgbClr w14:val="FF0000">
                    <w14:alpha w14:val="40000"/>
                  </w14:srgbClr>
                </w14:glow>
              </w:rPr>
              <w:t>Währungspaar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768C85" w14:textId="77777777" w:rsidR="008A17DE" w:rsidRPr="008A17DE" w:rsidRDefault="008A17DE" w:rsidP="008A17DE">
            <w:pPr>
              <w:pStyle w:val="Listenabsatz"/>
              <w:rPr>
                <w:b/>
                <w:bCs/>
                <w14:glow w14:rad="101600">
                  <w14:srgbClr w14:val="FF0000">
                    <w14:alpha w14:val="40000"/>
                  </w14:srgbClr>
                </w14:glow>
              </w:rPr>
            </w:pPr>
            <w:r w:rsidRPr="008A17DE">
              <w:rPr>
                <w:b/>
                <w:bCs/>
                <w14:glow w14:rad="101600">
                  <w14:srgbClr w14:val="FF0000">
                    <w14:alpha w14:val="40000"/>
                  </w14:srgbClr>
                </w14:glow>
              </w:rPr>
              <w:t>Umrechnungskurs</w:t>
            </w:r>
          </w:p>
        </w:tc>
      </w:tr>
      <w:tr w:rsidR="008A17DE" w:rsidRPr="008A17DE" w14:paraId="77804239" w14:textId="77777777" w:rsidTr="008A17DE"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21858D3" w14:textId="77777777" w:rsidR="008A17DE" w:rsidRPr="008A17DE" w:rsidRDefault="008A17DE" w:rsidP="008A17DE">
            <w:pPr>
              <w:pStyle w:val="Listenabsatz"/>
            </w:pPr>
            <w:r w:rsidRPr="008A17DE">
              <w:t>EUR -&gt; USD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145EA9" w14:textId="77777777" w:rsidR="008A17DE" w:rsidRPr="008A17DE" w:rsidRDefault="008A17DE" w:rsidP="008A17DE">
            <w:pPr>
              <w:pStyle w:val="Listenabsatz"/>
            </w:pPr>
            <w:r w:rsidRPr="008A17DE">
              <w:t>1 EUR = 1.05 USD</w:t>
            </w:r>
          </w:p>
        </w:tc>
      </w:tr>
      <w:tr w:rsidR="008A17DE" w:rsidRPr="008A17DE" w14:paraId="6A817D9D" w14:textId="77777777" w:rsidTr="008A17DE"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E7973D4" w14:textId="77777777" w:rsidR="008A17DE" w:rsidRPr="008A17DE" w:rsidRDefault="008A17DE" w:rsidP="008A17DE">
            <w:pPr>
              <w:pStyle w:val="Listenabsatz"/>
            </w:pPr>
            <w:r w:rsidRPr="008A17DE">
              <w:t>USD -&gt; GBP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45D4DE0" w14:textId="77777777" w:rsidR="008A17DE" w:rsidRPr="008A17DE" w:rsidRDefault="008A17DE" w:rsidP="008A17DE">
            <w:pPr>
              <w:pStyle w:val="Listenabsatz"/>
            </w:pPr>
            <w:r w:rsidRPr="008A17DE">
              <w:t>1 USD = 0.75 GBP</w:t>
            </w:r>
          </w:p>
        </w:tc>
      </w:tr>
      <w:tr w:rsidR="008A17DE" w:rsidRPr="008A17DE" w14:paraId="0C625D6A" w14:textId="77777777" w:rsidTr="008A17DE"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BCD7D1" w14:textId="77777777" w:rsidR="008A17DE" w:rsidRPr="008A17DE" w:rsidRDefault="008A17DE" w:rsidP="008A17DE">
            <w:pPr>
              <w:pStyle w:val="Listenabsatz"/>
            </w:pPr>
            <w:r w:rsidRPr="008A17DE">
              <w:t>EUR -&gt; MXN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BB00FFE" w14:textId="77777777" w:rsidR="008A17DE" w:rsidRPr="008A17DE" w:rsidRDefault="008A17DE" w:rsidP="008A17DE">
            <w:pPr>
              <w:pStyle w:val="Listenabsatz"/>
            </w:pPr>
            <w:r w:rsidRPr="008A17DE">
              <w:t>1 EUR = 20 MXN</w:t>
            </w:r>
          </w:p>
        </w:tc>
      </w:tr>
      <w:tr w:rsidR="008A17DE" w:rsidRPr="008A17DE" w14:paraId="14EFF5FB" w14:textId="77777777" w:rsidTr="008A17DE"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A672B1" w14:textId="77777777" w:rsidR="008A17DE" w:rsidRPr="008A17DE" w:rsidRDefault="008A17DE" w:rsidP="008A17DE">
            <w:pPr>
              <w:pStyle w:val="Listenabsatz"/>
            </w:pPr>
            <w:r w:rsidRPr="008A17DE">
              <w:t>EUR -&gt; 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shd w:val="clear" w:color="auto" w:fill="343541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8AB934" w14:textId="77777777" w:rsidR="008A17DE" w:rsidRPr="008A17DE" w:rsidRDefault="008A17DE" w:rsidP="008A17DE">
            <w:pPr>
              <w:pStyle w:val="Listenabsatz"/>
            </w:pPr>
            <w:r w:rsidRPr="008A17DE">
              <w:t>1 EUR = 28 TRY</w:t>
            </w:r>
          </w:p>
        </w:tc>
      </w:tr>
    </w:tbl>
    <w:p w14:paraId="54BC5BD9" w14:textId="77777777" w:rsidR="008A17DE" w:rsidRP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Testwerte für die Umrechnung</w:t>
      </w:r>
    </w:p>
    <w:p w14:paraId="591C807A" w14:textId="4014516E" w:rsidR="008A17DE" w:rsidRPr="008A17DE" w:rsidRDefault="008A17DE" w:rsidP="008A17DE">
      <w:pPr>
        <w:pStyle w:val="Listenabsatz"/>
        <w:rPr>
          <w:b/>
          <w:bCs/>
        </w:rPr>
      </w:pPr>
    </w:p>
    <w:p w14:paraId="3579B0B2" w14:textId="77777777" w:rsidR="008A17DE" w:rsidRPr="008A17DE" w:rsidRDefault="008A17DE" w:rsidP="008A17DE">
      <w:pPr>
        <w:pStyle w:val="Listenabsatz"/>
        <w:numPr>
          <w:ilvl w:val="0"/>
          <w:numId w:val="6"/>
        </w:numPr>
      </w:pPr>
      <w:r w:rsidRPr="008A17DE">
        <w:rPr>
          <w:b/>
          <w:bCs/>
        </w:rPr>
        <w:t>EUR -&gt; USD</w:t>
      </w:r>
    </w:p>
    <w:p w14:paraId="187C777B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Eingabe: </w:t>
      </w:r>
      <w:r w:rsidRPr="008A17DE">
        <w:rPr>
          <w:b/>
          <w:bCs/>
        </w:rPr>
        <w:t>100 EUR</w:t>
      </w:r>
    </w:p>
    <w:p w14:paraId="7A0062DA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Erwartetes Ergebnis: </w:t>
      </w:r>
      <w:r w:rsidRPr="008A17DE">
        <w:rPr>
          <w:b/>
          <w:bCs/>
        </w:rPr>
        <w:t>105 USD</w:t>
      </w:r>
    </w:p>
    <w:p w14:paraId="7BDD35BC" w14:textId="77777777" w:rsidR="008A17DE" w:rsidRPr="008A17DE" w:rsidRDefault="008A17DE" w:rsidP="008A17DE">
      <w:pPr>
        <w:pStyle w:val="Listenabsatz"/>
        <w:numPr>
          <w:ilvl w:val="0"/>
          <w:numId w:val="6"/>
        </w:numPr>
      </w:pPr>
      <w:r w:rsidRPr="008A17DE">
        <w:rPr>
          <w:b/>
          <w:bCs/>
        </w:rPr>
        <w:t>USD -&gt; GBP</w:t>
      </w:r>
    </w:p>
    <w:p w14:paraId="706366E7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Eingabe: </w:t>
      </w:r>
      <w:r w:rsidRPr="008A17DE">
        <w:rPr>
          <w:b/>
          <w:bCs/>
        </w:rPr>
        <w:t>100 USD</w:t>
      </w:r>
    </w:p>
    <w:p w14:paraId="306FA4A1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Erwartetes Ergebnis: </w:t>
      </w:r>
      <w:r w:rsidRPr="008A17DE">
        <w:rPr>
          <w:b/>
          <w:bCs/>
        </w:rPr>
        <w:t>75 GBP</w:t>
      </w:r>
    </w:p>
    <w:p w14:paraId="460B7FF1" w14:textId="77777777" w:rsidR="008A17DE" w:rsidRPr="008A17DE" w:rsidRDefault="008A17DE" w:rsidP="008A17DE">
      <w:pPr>
        <w:pStyle w:val="Listenabsatz"/>
        <w:numPr>
          <w:ilvl w:val="0"/>
          <w:numId w:val="6"/>
        </w:numPr>
      </w:pPr>
      <w:r w:rsidRPr="008A17DE">
        <w:rPr>
          <w:b/>
          <w:bCs/>
        </w:rPr>
        <w:t>EUR -&gt; MXN</w:t>
      </w:r>
    </w:p>
    <w:p w14:paraId="42381705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Eingabe: </w:t>
      </w:r>
      <w:r w:rsidRPr="008A17DE">
        <w:rPr>
          <w:b/>
          <w:bCs/>
        </w:rPr>
        <w:t>100 EUR</w:t>
      </w:r>
    </w:p>
    <w:p w14:paraId="7CD7E5D1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Erwartetes Ergebnis: </w:t>
      </w:r>
      <w:r w:rsidRPr="008A17DE">
        <w:rPr>
          <w:b/>
          <w:bCs/>
        </w:rPr>
        <w:t>2000 MXN</w:t>
      </w:r>
    </w:p>
    <w:p w14:paraId="01987C50" w14:textId="77777777" w:rsidR="008A17DE" w:rsidRPr="008A17DE" w:rsidRDefault="008A17DE" w:rsidP="008A17DE">
      <w:pPr>
        <w:pStyle w:val="Listenabsatz"/>
        <w:numPr>
          <w:ilvl w:val="0"/>
          <w:numId w:val="6"/>
        </w:numPr>
      </w:pPr>
      <w:r w:rsidRPr="008A17DE">
        <w:rPr>
          <w:b/>
          <w:bCs/>
        </w:rPr>
        <w:t>EUR -&gt; TRY</w:t>
      </w:r>
    </w:p>
    <w:p w14:paraId="51E5C66E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Eingabe: </w:t>
      </w:r>
      <w:r w:rsidRPr="008A17DE">
        <w:rPr>
          <w:b/>
          <w:bCs/>
        </w:rPr>
        <w:t>100 EUR</w:t>
      </w:r>
    </w:p>
    <w:p w14:paraId="76FA3ABB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Erwartetes Ergebnis: </w:t>
      </w:r>
      <w:r w:rsidRPr="008A17DE">
        <w:rPr>
          <w:b/>
          <w:bCs/>
        </w:rPr>
        <w:t>2800 TRY</w:t>
      </w:r>
    </w:p>
    <w:p w14:paraId="78AC1C41" w14:textId="77777777" w:rsidR="008A17DE" w:rsidRPr="008A17DE" w:rsidRDefault="008A17DE" w:rsidP="008A17DE">
      <w:pPr>
        <w:pStyle w:val="Listenabsatz"/>
        <w:numPr>
          <w:ilvl w:val="0"/>
          <w:numId w:val="6"/>
        </w:numPr>
      </w:pPr>
      <w:r w:rsidRPr="008A17DE">
        <w:rPr>
          <w:b/>
          <w:bCs/>
        </w:rPr>
        <w:t>Identische Währungen</w:t>
      </w:r>
    </w:p>
    <w:p w14:paraId="7DC4E16C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Eingabe: </w:t>
      </w:r>
      <w:r w:rsidRPr="008A17DE">
        <w:rPr>
          <w:b/>
          <w:bCs/>
        </w:rPr>
        <w:t>100 EUR</w:t>
      </w:r>
      <w:r w:rsidRPr="008A17DE">
        <w:t> von </w:t>
      </w:r>
      <w:r w:rsidRPr="008A17DE">
        <w:rPr>
          <w:b/>
          <w:bCs/>
        </w:rPr>
        <w:t>EUR</w:t>
      </w:r>
      <w:r w:rsidRPr="008A17DE">
        <w:t> nach </w:t>
      </w:r>
      <w:r w:rsidRPr="008A17DE">
        <w:rPr>
          <w:b/>
          <w:bCs/>
        </w:rPr>
        <w:t>EUR</w:t>
      </w:r>
    </w:p>
    <w:p w14:paraId="0508D729" w14:textId="77777777" w:rsidR="008A17DE" w:rsidRPr="008A17DE" w:rsidRDefault="008A17DE" w:rsidP="008A17DE">
      <w:pPr>
        <w:pStyle w:val="Listenabsatz"/>
        <w:numPr>
          <w:ilvl w:val="1"/>
          <w:numId w:val="6"/>
        </w:numPr>
      </w:pPr>
      <w:r w:rsidRPr="008A17DE">
        <w:t>Erwartete Ausgabe: "Die Quell- und Zielwährung sind identisch."</w:t>
      </w:r>
    </w:p>
    <w:p w14:paraId="3F32FB2A" w14:textId="77777777" w:rsidR="008A17DE" w:rsidRPr="008A17DE" w:rsidRDefault="008A17DE" w:rsidP="008A17DE">
      <w:pPr>
        <w:pStyle w:val="Listenabsatz"/>
        <w:rPr>
          <w:b/>
          <w:bCs/>
        </w:rPr>
      </w:pPr>
      <w:r w:rsidRPr="008A17DE">
        <w:rPr>
          <w:b/>
          <w:bCs/>
        </w:rPr>
        <w:t>Verhalten bei gleichen Währungen</w:t>
      </w:r>
    </w:p>
    <w:p w14:paraId="21DA47BC" w14:textId="2160D5FB" w:rsidR="008A17DE" w:rsidRPr="008A17DE" w:rsidRDefault="008A17DE" w:rsidP="008A17DE">
      <w:pPr>
        <w:pStyle w:val="Listenabsatz"/>
      </w:pPr>
      <w:r w:rsidRPr="008A17DE">
        <w:t xml:space="preserve">Wenn </w:t>
      </w:r>
      <w:r>
        <w:t>man</w:t>
      </w:r>
      <w:r w:rsidRPr="008A17DE">
        <w:t xml:space="preserve"> versucht, den gleichen Währungsbetrag von einer Währung in dieselbe Währung umzuwandeln (z.B. von Euro zu Euro), sollte eine Warnmeldung erscheinen:</w:t>
      </w:r>
    </w:p>
    <w:p w14:paraId="4DFECA18" w14:textId="77777777" w:rsidR="008A17DE" w:rsidRPr="008A17DE" w:rsidRDefault="008A17DE" w:rsidP="008A17DE">
      <w:pPr>
        <w:pStyle w:val="Listenabsatz"/>
        <w:rPr>
          <w:i/>
          <w:iCs/>
        </w:rPr>
      </w:pPr>
      <w:r w:rsidRPr="008A17DE">
        <w:rPr>
          <w:i/>
          <w:iCs/>
        </w:rPr>
        <w:t>"Die Quell- und Zielwährung sind identisch."</w:t>
      </w:r>
    </w:p>
    <w:p w14:paraId="67CEAB64" w14:textId="77777777" w:rsidR="008A17DE" w:rsidRDefault="008A17DE" w:rsidP="008A17DE">
      <w:pPr>
        <w:pStyle w:val="Listenabsatz"/>
      </w:pPr>
    </w:p>
    <w:p w14:paraId="4E675F0A" w14:textId="77777777" w:rsidR="008A17DE" w:rsidRPr="008A17DE" w:rsidRDefault="008A17DE" w:rsidP="008A17DE">
      <w:pPr>
        <w:rPr>
          <w:b/>
          <w:bCs/>
        </w:rPr>
      </w:pPr>
    </w:p>
    <w:sectPr w:rsidR="008A17DE" w:rsidRPr="008A17D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89892" w14:textId="77777777" w:rsidR="00780F15" w:rsidRDefault="00780F15" w:rsidP="008A17DE">
      <w:pPr>
        <w:spacing w:after="0" w:line="240" w:lineRule="auto"/>
      </w:pPr>
      <w:r>
        <w:separator/>
      </w:r>
    </w:p>
  </w:endnote>
  <w:endnote w:type="continuationSeparator" w:id="0">
    <w:p w14:paraId="18E6BD19" w14:textId="77777777" w:rsidR="00780F15" w:rsidRDefault="00780F15" w:rsidP="008A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11E1F" w14:textId="77777777" w:rsidR="00780F15" w:rsidRDefault="00780F15" w:rsidP="008A17DE">
      <w:pPr>
        <w:spacing w:after="0" w:line="240" w:lineRule="auto"/>
      </w:pPr>
      <w:r>
        <w:separator/>
      </w:r>
    </w:p>
  </w:footnote>
  <w:footnote w:type="continuationSeparator" w:id="0">
    <w:p w14:paraId="08E05BB5" w14:textId="77777777" w:rsidR="00780F15" w:rsidRDefault="00780F15" w:rsidP="008A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0773" w14:textId="15053D6D" w:rsidR="008A17DE" w:rsidRDefault="008A17DE">
    <w:pPr>
      <w:pStyle w:val="Kopfzeile"/>
    </w:pPr>
    <w:r>
      <w:t xml:space="preserve">Projektwoche </w:t>
    </w:r>
  </w:p>
  <w:p w14:paraId="29E9289B" w14:textId="7E5CA784" w:rsidR="008A17DE" w:rsidRDefault="008A17DE">
    <w:pPr>
      <w:pStyle w:val="Kopfzeile"/>
    </w:pPr>
    <w:r>
      <w:t>Android Studios</w:t>
    </w:r>
  </w:p>
  <w:p w14:paraId="0A485C32" w14:textId="5E43B715" w:rsidR="008A17DE" w:rsidRDefault="008A17DE">
    <w:pPr>
      <w:pStyle w:val="Kopfzeile"/>
    </w:pPr>
    <w:r>
      <w:t>16.12.2024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74F00"/>
    <w:multiLevelType w:val="multilevel"/>
    <w:tmpl w:val="E66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A0D8D"/>
    <w:multiLevelType w:val="multilevel"/>
    <w:tmpl w:val="2596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A207E"/>
    <w:multiLevelType w:val="multilevel"/>
    <w:tmpl w:val="90E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B7F61"/>
    <w:multiLevelType w:val="multilevel"/>
    <w:tmpl w:val="1CA6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C3FD0"/>
    <w:multiLevelType w:val="multilevel"/>
    <w:tmpl w:val="90684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5" w15:restartNumberingAfterBreak="0">
    <w:nsid w:val="6A051DAF"/>
    <w:multiLevelType w:val="multilevel"/>
    <w:tmpl w:val="D81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647475">
    <w:abstractNumId w:val="4"/>
  </w:num>
  <w:num w:numId="2" w16cid:durableId="565654452">
    <w:abstractNumId w:val="1"/>
  </w:num>
  <w:num w:numId="3" w16cid:durableId="464810041">
    <w:abstractNumId w:val="2"/>
  </w:num>
  <w:num w:numId="4" w16cid:durableId="450325937">
    <w:abstractNumId w:val="0"/>
  </w:num>
  <w:num w:numId="5" w16cid:durableId="2086410995">
    <w:abstractNumId w:val="5"/>
  </w:num>
  <w:num w:numId="6" w16cid:durableId="251592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DE"/>
    <w:rsid w:val="000F0BAB"/>
    <w:rsid w:val="00334E5A"/>
    <w:rsid w:val="00780F15"/>
    <w:rsid w:val="008A17DE"/>
    <w:rsid w:val="00D66186"/>
    <w:rsid w:val="00D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CAD9"/>
  <w15:chartTrackingRefBased/>
  <w15:docId w15:val="{0B2C2097-94A3-4124-A2B2-7951C469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1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1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1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1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1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1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7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7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7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7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7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7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1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1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1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1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17DE"/>
    <w:rPr>
      <w:i/>
      <w:iCs/>
      <w:color w:val="404040" w:themeColor="text1" w:themeTint="BF"/>
    </w:rPr>
  </w:style>
  <w:style w:type="paragraph" w:styleId="Listenabsatz">
    <w:name w:val="List Paragraph"/>
    <w:basedOn w:val="Standard"/>
    <w:qFormat/>
    <w:rsid w:val="008A17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17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1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17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17D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A1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17DE"/>
  </w:style>
  <w:style w:type="paragraph" w:styleId="Fuzeile">
    <w:name w:val="footer"/>
    <w:basedOn w:val="Standard"/>
    <w:link w:val="FuzeileZchn"/>
    <w:uiPriority w:val="99"/>
    <w:unhideWhenUsed/>
    <w:rsid w:val="008A1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7145">
          <w:blockQuote w:val="1"/>
          <w:marLeft w:val="0"/>
          <w:marRight w:val="0"/>
          <w:marTop w:val="384"/>
          <w:marBottom w:val="384"/>
          <w:divBdr>
            <w:top w:val="single" w:sz="24" w:space="0" w:color="D9D9E3"/>
            <w:left w:val="single" w:sz="24" w:space="12" w:color="auto"/>
            <w:bottom w:val="single" w:sz="24" w:space="0" w:color="D9D9E3"/>
            <w:right w:val="single" w:sz="24" w:space="0" w:color="D9D9E3"/>
          </w:divBdr>
        </w:div>
      </w:divsChild>
    </w:div>
    <w:div w:id="1024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780">
          <w:blockQuote w:val="1"/>
          <w:marLeft w:val="0"/>
          <w:marRight w:val="0"/>
          <w:marTop w:val="384"/>
          <w:marBottom w:val="384"/>
          <w:divBdr>
            <w:top w:val="single" w:sz="24" w:space="0" w:color="D9D9E3"/>
            <w:left w:val="single" w:sz="24" w:space="12" w:color="auto"/>
            <w:bottom w:val="single" w:sz="24" w:space="0" w:color="D9D9E3"/>
            <w:right w:val="single" w:sz="24" w:space="0" w:color="D9D9E3"/>
          </w:divBdr>
        </w:div>
      </w:divsChild>
    </w:div>
    <w:div w:id="12229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281">
          <w:blockQuote w:val="1"/>
          <w:marLeft w:val="0"/>
          <w:marRight w:val="0"/>
          <w:marTop w:val="384"/>
          <w:marBottom w:val="384"/>
          <w:divBdr>
            <w:top w:val="single" w:sz="24" w:space="0" w:color="D9D9E3"/>
            <w:left w:val="single" w:sz="24" w:space="12" w:color="auto"/>
            <w:bottom w:val="single" w:sz="24" w:space="0" w:color="D9D9E3"/>
            <w:right w:val="single" w:sz="24" w:space="0" w:color="D9D9E3"/>
          </w:divBdr>
        </w:div>
      </w:divsChild>
    </w:div>
    <w:div w:id="1764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734">
          <w:blockQuote w:val="1"/>
          <w:marLeft w:val="0"/>
          <w:marRight w:val="0"/>
          <w:marTop w:val="384"/>
          <w:marBottom w:val="384"/>
          <w:divBdr>
            <w:top w:val="single" w:sz="24" w:space="0" w:color="D9D9E3"/>
            <w:left w:val="single" w:sz="24" w:space="12" w:color="auto"/>
            <w:bottom w:val="single" w:sz="24" w:space="0" w:color="D9D9E3"/>
            <w:right w:val="single" w:sz="24" w:space="0" w:color="D9D9E3"/>
          </w:divBdr>
        </w:div>
      </w:divsChild>
    </w:div>
    <w:div w:id="1802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F41AAE03274441B621B4D5E9741766" ma:contentTypeVersion="1" ma:contentTypeDescription="Ein neues Dokument erstellen." ma:contentTypeScope="" ma:versionID="b382578a39295118e357d4314a6cb2c8">
  <xsd:schema xmlns:xsd="http://www.w3.org/2001/XMLSchema" xmlns:xs="http://www.w3.org/2001/XMLSchema" xmlns:p="http://schemas.microsoft.com/office/2006/metadata/properties" xmlns:ns2="c02845e7-d067-4288-94f0-45a0eb792fb3" targetNamespace="http://schemas.microsoft.com/office/2006/metadata/properties" ma:root="true" ma:fieldsID="71558f05d125374dd1eae336ef2f4421" ns2:_="">
    <xsd:import namespace="c02845e7-d067-4288-94f0-45a0eb792fb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845e7-d067-4288-94f0-45a0eb792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2845e7-d067-4288-94f0-45a0eb792fb3" xsi:nil="true"/>
  </documentManagement>
</p:properties>
</file>

<file path=customXml/itemProps1.xml><?xml version="1.0" encoding="utf-8"?>
<ds:datastoreItem xmlns:ds="http://schemas.openxmlformats.org/officeDocument/2006/customXml" ds:itemID="{A2CBDB26-AC5F-4F6D-8C62-9E075F203171}"/>
</file>

<file path=customXml/itemProps2.xml><?xml version="1.0" encoding="utf-8"?>
<ds:datastoreItem xmlns:ds="http://schemas.openxmlformats.org/officeDocument/2006/customXml" ds:itemID="{329E6D24-CDD7-49F9-B6F2-1A6C7924CDE0}"/>
</file>

<file path=customXml/itemProps3.xml><?xml version="1.0" encoding="utf-8"?>
<ds:datastoreItem xmlns:ds="http://schemas.openxmlformats.org/officeDocument/2006/customXml" ds:itemID="{BF8D0036-857D-4F65-970B-02EC20C15A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Sakar / BBS2H23A</dc:creator>
  <cp:keywords/>
  <dc:description/>
  <cp:lastModifiedBy>Baran Sakar / BBS2H23A</cp:lastModifiedBy>
  <cp:revision>1</cp:revision>
  <dcterms:created xsi:type="dcterms:W3CDTF">2024-12-16T08:39:00Z</dcterms:created>
  <dcterms:modified xsi:type="dcterms:W3CDTF">2024-12-16T08:50:00Z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0x01010092F41AAE03274441B621B4D5E9741766</vt:lpwstr>
  </property>
</Properties>
</file>