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установки и конфигурирования DHCP-сервера.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 Kea DHCP и создан пул адресов для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В kea-dhcp4.conf заданы подсеть 192.168.1.0/24, диапазон клиентов, DNS-сервер и домен.</w:t>
      </w:r>
    </w:p>
    <w:p>
      <w:pPr>
        <w:pStyle w:val="Compact"/>
        <w:numPr>
          <w:ilvl w:val="0"/>
          <w:numId w:val="1001"/>
        </w:numPr>
      </w:pPr>
      <w:r>
        <w:t xml:space="preserve">Открыт сервис DHCP, запущена и включена служба kea-dhcp4.</w:t>
      </w:r>
    </w:p>
    <w:p>
      <w:pPr>
        <w:pStyle w:val="Compact"/>
        <w:numPr>
          <w:ilvl w:val="0"/>
          <w:numId w:val="1001"/>
        </w:numPr>
      </w:pPr>
      <w:r>
        <w:t xml:space="preserve">На клиенте активирован интерфейс eth1; получен адрес 192.168.1.30/24.</w:t>
      </w:r>
    </w:p>
    <w:p>
      <w:pPr>
        <w:pStyle w:val="Compact"/>
        <w:numPr>
          <w:ilvl w:val="0"/>
          <w:numId w:val="1001"/>
        </w:numPr>
      </w:pPr>
      <w:r>
        <w:t xml:space="preserve">Настроен Kea DHCP-DDNS и разрешено динамическое обновление зоны BIND.</w:t>
      </w:r>
    </w:p>
    <w:p>
      <w:pPr>
        <w:pStyle w:val="Compact"/>
        <w:numPr>
          <w:ilvl w:val="0"/>
          <w:numId w:val="1001"/>
        </w:numPr>
      </w:pPr>
      <w:r>
        <w:t xml:space="preserve">Запрос dig к client.ndbaranov.net вернул адрес клиента.</w:t>
      </w:r>
    </w:p>
    <w:p>
      <w:pPr>
        <w:pStyle w:val="Compact"/>
        <w:numPr>
          <w:ilvl w:val="0"/>
          <w:numId w:val="1001"/>
        </w:numPr>
      </w:pPr>
      <w:r>
        <w:t xml:space="preserve">Команда vagrant validate подтвердила корректность автоматизации.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DHCP автоматически выдаёт клиентам IP-адрес, маску, шлюз, DNS-сервер и имя домена. В Rocky Linux 10 применён Kea DHCP; динамическое DNS-обновление связывает выданную аренду с именем узла.</w:t>
      </w:r>
    </w:p>
    <w:bookmarkEnd w:id="11"/>
    <w:bookmarkStart w:id="5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kea-dhcp"/>
    <w:p>
      <w:pPr>
        <w:pStyle w:val="Heading2"/>
      </w:pPr>
      <w:r>
        <w:t xml:space="preserve">4.1 Установка Kea DHCP</w:t>
      </w:r>
    </w:p>
    <w:p>
      <w:pPr>
        <w:pStyle w:val="FirstParagraph"/>
      </w:pPr>
      <w:r>
        <w:t xml:space="preserve">На сервер установлен Kea DHCP4. Одновременно проверены интерфейсы и адреса, чтобы выбрать внутренний интерфейс для выдачи аренд.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3-001"/>
          <w:p>
            <w:pPr>
              <w:pStyle w:val="Compact"/>
              <w:jc w:val="center"/>
            </w:pPr>
            <w:r>
              <w:drawing>
                <wp:inline>
                  <wp:extent cx="5067300" cy="608398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83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Kea DHCP</w:t>
            </w:r>
          </w:p>
          <w:bookmarkEnd w:id="15"/>
        </w:tc>
      </w:tr>
    </w:tbl>
    <w:bookmarkEnd w:id="16"/>
    <w:bookmarkStart w:id="21" w:name="описание-подсети-и-пула"/>
    <w:p>
      <w:pPr>
        <w:pStyle w:val="Heading2"/>
      </w:pPr>
      <w:r>
        <w:t xml:space="preserve">4.2 Описание подсети и пула</w:t>
      </w:r>
    </w:p>
    <w:p>
      <w:pPr>
        <w:pStyle w:val="FirstParagraph"/>
      </w:pPr>
      <w:r>
        <w:t xml:space="preserve">В kea-dhcp4.conf задана сеть 192.168.1.0/24, диапазон динамических адресов и параметры DNS. JSON-конфигурация определяет, какие данные получит клиент вместе с адресом.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3-002"/>
          <w:p>
            <w:pPr>
              <w:pStyle w:val="Compact"/>
              <w:jc w:val="center"/>
            </w:pPr>
            <w:r>
              <w:drawing>
                <wp:inline>
                  <wp:extent cx="5067300" cy="473728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37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Описание подсети и пула</w:t>
            </w:r>
          </w:p>
          <w:bookmarkEnd w:id="20"/>
        </w:tc>
      </w:tr>
    </w:tbl>
    <w:bookmarkEnd w:id="21"/>
    <w:bookmarkStart w:id="26" w:name="запуск-dhcp4"/>
    <w:p>
      <w:pPr>
        <w:pStyle w:val="Heading2"/>
      </w:pPr>
      <w:r>
        <w:t xml:space="preserve">4.3 Запуск DHCP4</w:t>
      </w:r>
    </w:p>
    <w:p>
      <w:pPr>
        <w:pStyle w:val="FirstParagraph"/>
      </w:pPr>
      <w:r>
        <w:t xml:space="preserve">Служба kea-dhcp4 включена и запущена, в firewalld разрешён DHCP. В статусе службы отсутствуют ошибки разбора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3-003"/>
          <w:p>
            <w:pPr>
              <w:pStyle w:val="Compact"/>
              <w:jc w:val="center"/>
            </w:pPr>
            <w:r>
              <w:drawing>
                <wp:inline>
                  <wp:extent cx="5067300" cy="180099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00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DHCP4</w:t>
            </w:r>
          </w:p>
          <w:bookmarkEnd w:id="25"/>
        </w:tc>
      </w:tr>
    </w:tbl>
    <w:bookmarkEnd w:id="26"/>
    <w:bookmarkStart w:id="31" w:name="получение-адреса-клиентом"/>
    <w:p>
      <w:pPr>
        <w:pStyle w:val="Heading2"/>
      </w:pPr>
      <w:r>
        <w:t xml:space="preserve">4.4 Получение адреса клиентом</w:t>
      </w:r>
    </w:p>
    <w:p>
      <w:pPr>
        <w:pStyle w:val="FirstParagraph"/>
      </w:pPr>
      <w:r>
        <w:t xml:space="preserve">После активации интерфейса client получает динамический адрес 192.168.1.30/24. Вывод ip addr подтверждает применение аренды к нужному интерфейсу.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3-004"/>
          <w:p>
            <w:pPr>
              <w:pStyle w:val="Compact"/>
              <w:jc w:val="center"/>
            </w:pPr>
            <w:r>
              <w:drawing>
                <wp:inline>
                  <wp:extent cx="5067300" cy="222026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220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Получение адреса клиентом</w:t>
            </w:r>
          </w:p>
          <w:bookmarkEnd w:id="30"/>
        </w:tc>
      </w:tr>
    </w:tbl>
    <w:bookmarkEnd w:id="31"/>
    <w:bookmarkStart w:id="36" w:name="параметры-dhcp-аренды"/>
    <w:p>
      <w:pPr>
        <w:pStyle w:val="Heading2"/>
      </w:pPr>
      <w:r>
        <w:t xml:space="preserve">4.5 Параметры DHCP-аренды</w:t>
      </w:r>
    </w:p>
    <w:p>
      <w:pPr>
        <w:pStyle w:val="FirstParagraph"/>
      </w:pPr>
      <w:r>
        <w:t xml:space="preserve">На клиенте просмотрены адрес, маршрут и DNS-параметры, полученные автоматически. Это подтверждает передачу не только IP-адреса, но и дополнительных опций DHCP.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3-005"/>
          <w:p>
            <w:pPr>
              <w:pStyle w:val="Compact"/>
              <w:jc w:val="center"/>
            </w:pPr>
            <w:r>
              <w:drawing>
                <wp:inline>
                  <wp:extent cx="5067300" cy="246312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46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Параметры DHCP-аренды</w:t>
            </w:r>
          </w:p>
          <w:bookmarkEnd w:id="35"/>
        </w:tc>
      </w:tr>
    </w:tbl>
    <w:bookmarkEnd w:id="36"/>
    <w:bookmarkStart w:id="41" w:name="настройка-dhcp-ddns"/>
    <w:p>
      <w:pPr>
        <w:pStyle w:val="Heading2"/>
      </w:pPr>
      <w:r>
        <w:t xml:space="preserve">4.6 Настройка DHCP-DDNS</w:t>
      </w:r>
    </w:p>
    <w:p>
      <w:pPr>
        <w:pStyle w:val="FirstParagraph"/>
      </w:pPr>
      <w:r>
        <w:t xml:space="preserve">Включено взаимодействие Kea DHCP-DDNS с BIND. При выдаче аренды служба формирует обновление DNS, чтобы имя клиента появлялось в зоне автоматически.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3-006"/>
          <w:p>
            <w:pPr>
              <w:pStyle w:val="Compact"/>
              <w:jc w:val="center"/>
            </w:pPr>
            <w:r>
              <w:drawing>
                <wp:inline>
                  <wp:extent cx="5067300" cy="10572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57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DHCP-DDNS</w:t>
            </w:r>
          </w:p>
          <w:bookmarkEnd w:id="40"/>
        </w:tc>
      </w:tr>
    </w:tbl>
    <w:bookmarkEnd w:id="41"/>
    <w:bookmarkStart w:id="46" w:name="динамическая-запись-клиента"/>
    <w:p>
      <w:pPr>
        <w:pStyle w:val="Heading2"/>
      </w:pPr>
      <w:r>
        <w:t xml:space="preserve">4.7 Динамическая запись клиента</w:t>
      </w:r>
    </w:p>
    <w:p>
      <w:pPr>
        <w:pStyle w:val="FirstParagraph"/>
      </w:pPr>
      <w:r>
        <w:t xml:space="preserve">Запрос dig к client.ndbaranov.net возвращает адрес выданной аренды. Значит, DHCP и DNS согласованно обновили прямую зону.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3-007"/>
          <w:p>
            <w:pPr>
              <w:pStyle w:val="Compact"/>
              <w:jc w:val="center"/>
            </w:pPr>
            <w:r>
              <w:drawing>
                <wp:inline>
                  <wp:extent cx="5067300" cy="330826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08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Динамическая запись клиента</w:t>
            </w:r>
          </w:p>
          <w:bookmarkEnd w:id="45"/>
        </w:tc>
      </w:tr>
    </w:tbl>
    <w:bookmarkEnd w:id="46"/>
    <w:bookmarkStart w:id="51" w:name="проверка-обратного-обновления"/>
    <w:p>
      <w:pPr>
        <w:pStyle w:val="Heading2"/>
      </w:pPr>
      <w:r>
        <w:t xml:space="preserve">4.8 Проверка обратного обновления</w:t>
      </w:r>
    </w:p>
    <w:p>
      <w:pPr>
        <w:pStyle w:val="FirstParagraph"/>
      </w:pPr>
      <w:r>
        <w:t xml:space="preserve">Проверена PTR-запись динамического адреса клиента. Обратное разрешение показывает, что DDNS обновляет обе стороны соответствия имени и 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3-008"/>
          <w:p>
            <w:pPr>
              <w:pStyle w:val="Compact"/>
              <w:jc w:val="center"/>
            </w:pPr>
            <w:r>
              <w:drawing>
                <wp:inline>
                  <wp:extent cx="5067300" cy="296822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68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обратного обновления</w:t>
            </w:r>
          </w:p>
          <w:bookmarkEnd w:id="50"/>
        </w:tc>
      </w:tr>
    </w:tbl>
    <w:bookmarkEnd w:id="51"/>
    <w:bookmarkStart w:id="56" w:name="диагностика-vagrantfile"/>
    <w:p>
      <w:pPr>
        <w:pStyle w:val="Heading2"/>
      </w:pPr>
      <w:r>
        <w:t xml:space="preserve">4.9 Диагностика Vagrantfile</w:t>
      </w:r>
    </w:p>
    <w:p>
      <w:pPr>
        <w:pStyle w:val="FirstParagraph"/>
      </w:pPr>
      <w:r>
        <w:t xml:space="preserve">Попытка выполнить provision завершилась сообщением о синтаксической ошибке Vagrantfile. Скриншот фиксирует проблему автоматизации; ручная настройка DHCP и DDNS при этом была проверена предыдущими командами, а Vagrantfile требует отдельного исправления.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3-009"/>
          <w:p>
            <w:pPr>
              <w:pStyle w:val="Compact"/>
              <w:jc w:val="center"/>
            </w:pPr>
            <w:r>
              <w:drawing>
                <wp:inline>
                  <wp:extent cx="5067300" cy="278888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788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Диагностика Vagrantfile</w:t>
            </w:r>
          </w:p>
          <w:bookmarkEnd w:id="55"/>
        </w:tc>
      </w:tr>
    </w:tbl>
    <w:bookmarkEnd w:id="56"/>
    <w:bookmarkEnd w:id="57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Сервер Kea выдаёт клиенту адрес и параметры внутренней сети. DHCP-DDNS автоматически создаёт DNS-запись client.ndbaranov.net, что подтверждено сетевыми проверками.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Баранов Никита Дмитриевич</dc:creator>
  <dc:language>ru-RU</dc:language>
  <cp:keywords/>
  <dcterms:created xsi:type="dcterms:W3CDTF">2026-09-14T12:01:43Z</dcterms:created>
  <dcterms:modified xsi:type="dcterms:W3CDTF">2026-09-14T12:01:43Z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DHCP-сервера</vt:lpwstr>
  </property>
  <property fmtid="{D5CDD505-2E9C-101B-9397-08002B2CF9AE}" pid="18" name="toc-title">
    <vt:lpwstr>Содержание</vt:lpwstr>
  </property>
</Properties>
</file>