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11</w:t>
      </w:r>
    </w:p>
    <w:p>
      <w:pPr>
        <w:pStyle w:val="Subtitle"/>
      </w:pPr>
      <w:r>
        <w:t xml:space="preserve">Настройка SSH-сервера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безопасный удалённый доступ, ключевую аутентификацию и SSH-туннели.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Проверены успешный и отклонённый входы по паролю.</w:t>
      </w:r>
    </w:p>
    <w:p>
      <w:pPr>
        <w:pStyle w:val="Compact"/>
        <w:numPr>
          <w:ilvl w:val="0"/>
          <w:numId w:val="1001"/>
        </w:numPr>
      </w:pPr>
      <w:r>
        <w:t xml:space="preserve">В sshd_config добавлен порт 2022; для SELinux порт помечен типом ssh_port_t.</w:t>
      </w:r>
    </w:p>
    <w:p>
      <w:pPr>
        <w:pStyle w:val="Compact"/>
        <w:numPr>
          <w:ilvl w:val="0"/>
          <w:numId w:val="1001"/>
        </w:numPr>
      </w:pPr>
      <w:r>
        <w:t xml:space="preserve">Порт 2022/tcp открыт в firewalld; ss подтвердил прослушивание 22 и 2022.</w:t>
      </w:r>
    </w:p>
    <w:p>
      <w:pPr>
        <w:pStyle w:val="Compact"/>
        <w:numPr>
          <w:ilvl w:val="0"/>
          <w:numId w:val="1001"/>
        </w:numPr>
      </w:pPr>
      <w:r>
        <w:t xml:space="preserve">Создана пара RSA-ключей; открытый ключ добавлен на сервер.</w:t>
      </w:r>
    </w:p>
    <w:p>
      <w:pPr>
        <w:pStyle w:val="Compact"/>
        <w:numPr>
          <w:ilvl w:val="0"/>
          <w:numId w:val="1001"/>
        </w:numPr>
      </w:pPr>
      <w:r>
        <w:t xml:space="preserve">Вход по ключу выполнен без запроса пароля.</w:t>
      </w:r>
    </w:p>
    <w:p>
      <w:pPr>
        <w:pStyle w:val="Compact"/>
        <w:numPr>
          <w:ilvl w:val="0"/>
          <w:numId w:val="1001"/>
        </w:numPr>
      </w:pPr>
      <w:r>
        <w:t xml:space="preserve">Локальный туннель 8080:localhost:80 дал клиенту доступ к веб-серверу.</w:t>
      </w:r>
    </w:p>
    <w:p>
      <w:pPr>
        <w:pStyle w:val="Compact"/>
        <w:numPr>
          <w:ilvl w:val="0"/>
          <w:numId w:val="1001"/>
        </w:numPr>
      </w:pPr>
      <w:r>
        <w:t xml:space="preserve">Vagrant provision воспроизвёл SSH-конфигурацию.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SSH обеспечивает шифрованный канал, контроль ключа хоста и аутентификацию паролем или ключом. Перенаправление портов переносит TCP-соединение через SSH-канал.</w:t>
      </w:r>
    </w:p>
    <w:bookmarkEnd w:id="11"/>
    <w:bookmarkStart w:id="67" w:name="выполнение-работы"/>
    <w:p>
      <w:pPr>
        <w:pStyle w:val="Heading1"/>
      </w:pPr>
      <w:r>
        <w:t xml:space="preserve">4. Выполнение работы</w:t>
      </w:r>
    </w:p>
    <w:bookmarkStart w:id="16" w:name="успешный-вход-по-паролю"/>
    <w:p>
      <w:pPr>
        <w:pStyle w:val="Heading2"/>
      </w:pPr>
      <w:r>
        <w:t xml:space="preserve">4.1 Успешный вход по паролю</w:t>
      </w:r>
    </w:p>
    <w:p>
      <w:pPr>
        <w:pStyle w:val="FirstParagraph"/>
      </w:pPr>
      <w:r>
        <w:t xml:space="preserve">С client выполнено SSH-подключение к server с корректными учётными данными. Приглашение оболочки подтверждает интерактивный вход.</w:t>
      </w:r>
    </w:p>
    <w:p>
      <w:pPr>
        <w:pStyle w:val="BodyText"/>
      </w:pPr>
      <w:r>
        <w:t xml:space="preserve">SSH сначала проверяет ключ узла, затем создаёт шифрованный канал и только после этого выполняет аутентификацию пользователя. Получение приглашения удалённой оболочки означает, что все три стадии завершились успешно.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11-001"/>
          <w:p>
            <w:pPr>
              <w:pStyle w:val="Compact"/>
              <w:jc w:val="center"/>
            </w:pPr>
            <w:r>
              <w:drawing>
                <wp:inline>
                  <wp:extent cx="5067300" cy="2749778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749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Успешный вход по паролю</w:t>
            </w:r>
          </w:p>
          <w:bookmarkEnd w:id="15"/>
        </w:tc>
      </w:tr>
    </w:tbl>
    <w:bookmarkEnd w:id="16"/>
    <w:bookmarkStart w:id="21" w:name="отклонение-неверного-пароля"/>
    <w:p>
      <w:pPr>
        <w:pStyle w:val="Heading2"/>
      </w:pPr>
      <w:r>
        <w:t xml:space="preserve">4.2 Отклонение неверного пароля</w:t>
      </w:r>
    </w:p>
    <w:p>
      <w:pPr>
        <w:pStyle w:val="FirstParagraph"/>
      </w:pPr>
      <w:r>
        <w:t xml:space="preserve">Повторная попытка входа с ошибочным паролем завершается Permission denied. Это показывает, что сервер не предоставляет доступ без аутентификации.</w:t>
      </w:r>
    </w:p>
    <w:p>
      <w:pPr>
        <w:pStyle w:val="BodyText"/>
      </w:pPr>
      <w:r>
        <w:t xml:space="preserve">Отказ при неверном пароле является ожидаемой контрольной проверкой. Он показывает, что сервер не создаёт сеанс до успешной аутентификации и формирует событие, которое позднее может анализироваться средствами журналирования и Fail2ban.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11-002"/>
          <w:p>
            <w:pPr>
              <w:pStyle w:val="Compact"/>
              <w:jc w:val="center"/>
            </w:pPr>
            <w:r>
              <w:drawing>
                <wp:inline>
                  <wp:extent cx="5067300" cy="1819983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819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Отклонение неверного пароля</w:t>
            </w:r>
          </w:p>
          <w:bookmarkEnd w:id="20"/>
        </w:tc>
      </w:tr>
    </w:tbl>
    <w:bookmarkEnd w:id="21"/>
    <w:bookmarkStart w:id="26" w:name="дополнительный-порт-sshd"/>
    <w:p>
      <w:pPr>
        <w:pStyle w:val="Heading2"/>
      </w:pPr>
      <w:r>
        <w:t xml:space="preserve">4.3 Дополнительный порт sshd</w:t>
      </w:r>
    </w:p>
    <w:p>
      <w:pPr>
        <w:pStyle w:val="FirstParagraph"/>
      </w:pPr>
      <w:r>
        <w:t xml:space="preserve">На данном снимке sshd_config добавлен Port 2022 при сохранении стандартного порта 22. Проверка sshd -t подтверждает корректность файла.</w:t>
      </w:r>
    </w:p>
    <w:p>
      <w:pPr>
        <w:pStyle w:val="BodyText"/>
      </w:pPr>
      <w:r>
        <w:t xml:space="preserve">sshd может одновременно прослушивать несколько директив Port. Перед перезапуском служебный режим sshd -t проверяет синтаксис и снижает риск потерять удалённый доступ из-за ошибочного файла.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11-003"/>
          <w:p>
            <w:pPr>
              <w:pStyle w:val="Compact"/>
              <w:jc w:val="center"/>
            </w:pPr>
            <w:r>
              <w:drawing>
                <wp:inline>
                  <wp:extent cx="5067300" cy="281280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812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Дополнительный порт sshd</w:t>
            </w:r>
          </w:p>
          <w:bookmarkEnd w:id="25"/>
        </w:tc>
      </w:tr>
    </w:tbl>
    <w:bookmarkEnd w:id="26"/>
    <w:bookmarkStart w:id="31" w:name="порт-ssh-в-selinux"/>
    <w:p>
      <w:pPr>
        <w:pStyle w:val="Heading2"/>
      </w:pPr>
      <w:r>
        <w:t xml:space="preserve">4.4 Порт SSH в SELinux</w:t>
      </w:r>
    </w:p>
    <w:p>
      <w:pPr>
        <w:pStyle w:val="FirstParagraph"/>
      </w:pPr>
      <w:r>
        <w:t xml:space="preserve">Командой semanage порт 2022 связан с типом ssh_port_t. Без этого SELinux мог бы запретить sshd прослушивать нестандартный порт.</w:t>
      </w:r>
    </w:p>
    <w:p>
      <w:pPr>
        <w:pStyle w:val="BodyText"/>
      </w:pPr>
      <w:r>
        <w:t xml:space="preserve">SELinux контролирует не только файлы, но и сетевые порты процессов. Назначение типа ssh_port_t разрешает домену sshd привязаться к 2022/tcp без отключения обязательного контроля доступа.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11-004"/>
          <w:p>
            <w:pPr>
              <w:pStyle w:val="Compact"/>
              <w:jc w:val="center"/>
            </w:pPr>
            <w:r>
              <w:drawing>
                <wp:inline>
                  <wp:extent cx="5067300" cy="374819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748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Порт SSH в SELinux</w:t>
            </w:r>
          </w:p>
          <w:bookmarkEnd w:id="30"/>
        </w:tc>
      </w:tr>
    </w:tbl>
    <w:bookmarkEnd w:id="31"/>
    <w:bookmarkStart w:id="36" w:name="правило-firewalld"/>
    <w:p>
      <w:pPr>
        <w:pStyle w:val="Heading2"/>
      </w:pPr>
      <w:r>
        <w:t xml:space="preserve">4.5 Правило firewalld</w:t>
      </w:r>
    </w:p>
    <w:p>
      <w:pPr>
        <w:pStyle w:val="FirstParagraph"/>
      </w:pPr>
      <w:r>
        <w:t xml:space="preserve">TCP-порт 2022 разрешён в межсетевом экране. Команда firewall-cmd выводит новое постоянное правило.</w:t>
      </w:r>
    </w:p>
    <w:p>
      <w:pPr>
        <w:pStyle w:val="BodyText"/>
      </w:pPr>
      <w:r>
        <w:t xml:space="preserve">Разрешение порта в firewalld дополняет настройку sshd и SELinux. Рабочий сервис требует согласованности трёх уровней: процесс слушает сокет, политика SELinux допускает его, а межсетевой экран пропускает пакеты.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11-005"/>
          <w:p>
            <w:pPr>
              <w:pStyle w:val="Compact"/>
              <w:jc w:val="center"/>
            </w:pPr>
            <w:r>
              <w:drawing>
                <wp:inline>
                  <wp:extent cx="5067300" cy="253092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530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Правило firewalld</w:t>
            </w:r>
          </w:p>
          <w:bookmarkEnd w:id="35"/>
        </w:tc>
      </w:tr>
    </w:tbl>
    <w:bookmarkEnd w:id="36"/>
    <w:bookmarkStart w:id="41" w:name="прослушивание-портов"/>
    <w:p>
      <w:pPr>
        <w:pStyle w:val="Heading2"/>
      </w:pPr>
      <w:r>
        <w:t xml:space="preserve">4.6 Прослушивание портов</w:t>
      </w:r>
    </w:p>
    <w:p>
      <w:pPr>
        <w:pStyle w:val="FirstParagraph"/>
      </w:pPr>
      <w:r>
        <w:t xml:space="preserve">Утилита ss показывает sshd на портах 22 и 2022. Таким образом подтверждена работа не только конфигурации, но и сетевого сокета.</w:t>
      </w:r>
    </w:p>
    <w:p>
      <w:pPr>
        <w:pStyle w:val="BodyText"/>
      </w:pPr>
      <w:r>
        <w:t xml:space="preserve">Пара ключей состоит из закрытой и открытой частей. Закрытый ключ остаётся на клиенте, а authorized_keys на сервере хранит только открытую часть; сервер проверяет криптографическое доказательство владения закрытым ключом.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11-006"/>
          <w:p>
            <w:pPr>
              <w:pStyle w:val="Compact"/>
              <w:jc w:val="center"/>
            </w:pPr>
            <w:r>
              <w:drawing>
                <wp:inline>
                  <wp:extent cx="5067300" cy="306997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69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Прослушивание портов</w:t>
            </w:r>
          </w:p>
          <w:bookmarkEnd w:id="40"/>
        </w:tc>
      </w:tr>
    </w:tbl>
    <w:bookmarkEnd w:id="41"/>
    <w:bookmarkStart w:id="46" w:name="создание-rsa-ключа"/>
    <w:p>
      <w:pPr>
        <w:pStyle w:val="Heading2"/>
      </w:pPr>
      <w:r>
        <w:t xml:space="preserve">4.7 Создание RSA-ключа</w:t>
      </w:r>
    </w:p>
    <w:p>
      <w:pPr>
        <w:pStyle w:val="FirstParagraph"/>
      </w:pPr>
      <w:r>
        <w:t xml:space="preserve">На представленном снимке клиенте создана пара RSA-ключей. Закрытый ключ остаётся у пользователя, а открытая часть предназначена для сервера.</w:t>
      </w:r>
    </w:p>
    <w:p>
      <w:pPr>
        <w:pStyle w:val="BodyText"/>
      </w:pPr>
      <w:r>
        <w:t xml:space="preserve">ssh-copy-id одновременно добавляет ключ и подготавливает корректные права ~/.ssh и authorized_keys. Слишком широкие права могут привести к отказу sshd использовать файл даже при верном содержимом.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11-007"/>
          <w:p>
            <w:pPr>
              <w:pStyle w:val="Compact"/>
              <w:jc w:val="center"/>
            </w:pPr>
            <w:r>
              <w:drawing>
                <wp:inline>
                  <wp:extent cx="5067300" cy="599295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992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RSA-ключа</w:t>
            </w:r>
          </w:p>
          <w:bookmarkEnd w:id="45"/>
        </w:tc>
      </w:tr>
    </w:tbl>
    <w:bookmarkEnd w:id="46"/>
    <w:bookmarkStart w:id="51" w:name="копирование-открытого-ключа"/>
    <w:p>
      <w:pPr>
        <w:pStyle w:val="Heading2"/>
      </w:pPr>
      <w:r>
        <w:t xml:space="preserve">4.8 Копирование открытого ключа</w:t>
      </w:r>
    </w:p>
    <w:p>
      <w:pPr>
        <w:pStyle w:val="FirstParagraph"/>
      </w:pPr>
      <w:r>
        <w:t xml:space="preserve">ssh-copy-id добавил ключ в authorized_keys пользователя на server. Права каталога .ssh сохранены безопасными.</w:t>
      </w:r>
    </w:p>
    <w:p>
      <w:pPr>
        <w:pStyle w:val="BodyText"/>
      </w:pPr>
      <w:r>
        <w:t xml:space="preserve">При локальном перенаправлении параметр -L связывает локальный порт клиента с адресом и портом, доступными со стороны сервера. Поэтому запрос к localhost:8080 проходит внутри SSH-канала к HTTP-службе на порту 80.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11-008"/>
          <w:p>
            <w:pPr>
              <w:pStyle w:val="Compact"/>
              <w:jc w:val="center"/>
            </w:pPr>
            <w:r>
              <w:drawing>
                <wp:inline>
                  <wp:extent cx="5067300" cy="133793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337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Копирование открытого ключа</w:t>
            </w:r>
          </w:p>
          <w:bookmarkEnd w:id="50"/>
        </w:tc>
      </w:tr>
    </w:tbl>
    <w:bookmarkEnd w:id="51"/>
    <w:bookmarkStart w:id="56" w:name="вход-без-пароля"/>
    <w:p>
      <w:pPr>
        <w:pStyle w:val="Heading2"/>
      </w:pPr>
      <w:r>
        <w:t xml:space="preserve">4.9 Вход без пароля</w:t>
      </w:r>
    </w:p>
    <w:p>
      <w:pPr>
        <w:pStyle w:val="FirstParagraph"/>
      </w:pPr>
      <w:r>
        <w:t xml:space="preserve">Повторное подключение выполняется по открытому ключу без запроса пароля учётной записи. Сервер подтвердил владение соответствующим закрытым ключом.</w:t>
      </w:r>
    </w:p>
    <w:p>
      <w:pPr>
        <w:pStyle w:val="BodyText"/>
      </w:pPr>
      <w:r>
        <w:t xml:space="preserve">При локальном перенаправлении параметр -L связывает локальный порт клиента с адресом и портом, доступными со стороны сервера. Поэтому запрос к localhost:8080 проходит внутри SSH-канала к HTTP-службе на порту 80.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11-009"/>
          <w:p>
            <w:pPr>
              <w:pStyle w:val="Compact"/>
              <w:jc w:val="center"/>
            </w:pPr>
            <w:r>
              <w:drawing>
                <wp:inline>
                  <wp:extent cx="5067300" cy="156693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566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Вход без пароля</w:t>
            </w:r>
          </w:p>
          <w:bookmarkEnd w:id="55"/>
        </w:tc>
      </w:tr>
    </w:tbl>
    <w:bookmarkEnd w:id="56"/>
    <w:bookmarkStart w:id="61" w:name="локальный-ssh-туннель"/>
    <w:p>
      <w:pPr>
        <w:pStyle w:val="Heading2"/>
      </w:pPr>
      <w:r>
        <w:t xml:space="preserve">4.10 Локальный SSH-туннель</w:t>
      </w:r>
    </w:p>
    <w:p>
      <w:pPr>
        <w:pStyle w:val="FirstParagraph"/>
      </w:pPr>
      <w:r>
        <w:t xml:space="preserve">Был создано перенаправление 8080:localhost:80 через SSH. Локальный порт клиента связан с HTTP-службой сервера внутри зашифрованного канала.</w:t>
      </w:r>
    </w:p>
    <w:p>
      <w:pPr>
        <w:pStyle w:val="BodyText"/>
      </w:pPr>
      <w:r>
        <w:t xml:space="preserve">При локальном перенаправлении параметр -L связывает локальный порт клиента с адресом и портом, доступными со стороны сервера. Поэтому запрос к localhost:8080 проходит внутри SSH-канала к HTTP-службе на порту 80.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11-010"/>
          <w:p>
            <w:pPr>
              <w:pStyle w:val="Compact"/>
              <w:jc w:val="center"/>
            </w:pPr>
            <w:r>
              <w:drawing>
                <wp:inline>
                  <wp:extent cx="5067300" cy="280240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802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Локальный SSH-туннель</w:t>
            </w:r>
          </w:p>
          <w:bookmarkEnd w:id="60"/>
        </w:tc>
      </w:tr>
    </w:tbl>
    <w:bookmarkEnd w:id="61"/>
    <w:bookmarkStart w:id="66" w:name="проверка-туннеля-и-provision"/>
    <w:p>
      <w:pPr>
        <w:pStyle w:val="Heading2"/>
      </w:pPr>
      <w:r>
        <w:t xml:space="preserve">4.11 Проверка туннеля и provision</w:t>
      </w:r>
    </w:p>
    <w:p>
      <w:pPr>
        <w:pStyle w:val="FirstParagraph"/>
      </w:pPr>
      <w:r>
        <w:t xml:space="preserve">Запрос к localhost:8080 возвращает страницу Apache, после чего provision-сценарий закрепляет SSH-настройки. Туннель доказал практическую работу перенаправления.</w:t>
      </w:r>
    </w:p>
    <w:p>
      <w:pPr>
        <w:pStyle w:val="BodyText"/>
      </w:pPr>
      <w:r>
        <w:t xml:space="preserve">При локальном перенаправлении параметр -L связывает локальный порт клиента с адресом и портом, доступными со стороны сервера. Поэтому запрос к localhost:8080 проходит внутри SSH-канала к HTTP-службе на порту 80.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1-011"/>
          <w:p>
            <w:pPr>
              <w:pStyle w:val="Compact"/>
              <w:jc w:val="center"/>
            </w:pPr>
            <w:r>
              <w:drawing>
                <wp:inline>
                  <wp:extent cx="5067300" cy="528974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28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туннеля и provision</w:t>
            </w:r>
          </w:p>
          <w:bookmarkEnd w:id="65"/>
        </w:tc>
      </w:tr>
    </w:tbl>
    <w:bookmarkEnd w:id="66"/>
    <w:bookmarkEnd w:id="67"/>
    <w:bookmarkStart w:id="6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SSH принимает подключения на стандартном и дополнительном портах, поддерживает вход по ключу и локальное перенаправление портов к веб-службе.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11</dc:title>
  <dc:creator>Баранов Никита Дмитриевич</dc:creator>
  <dc:language>ru-RU</dc:language>
  <cp:keywords/>
  <dcterms:created xsi:type="dcterms:W3CDTF">2026-09-14T12:29:48Z</dcterms:created>
  <dcterms:modified xsi:type="dcterms:W3CDTF">2026-09-14T12:29:48Z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Настройка SSH-сервера</vt:lpwstr>
  </property>
  <property fmtid="{D5CDD505-2E9C-101B-9397-08002B2CF9AE}" pid="18" name="toc-title">
    <vt:lpwstr>Содержание</vt:lpwstr>
  </property>
</Properties>
</file>