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7</w:t>
      </w:r>
    </w:p>
    <w:p>
      <w:pPr>
        <w:pStyle w:val="Subtitle"/>
      </w:pPr>
      <w:r>
        <w:t xml:space="preserve">Настройка межсетевого экрана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firewalld, перенаправления портов и маршрутизации.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Создано описание сервиса ssh-custom для TCP-порта 2022.</w:t>
      </w:r>
    </w:p>
    <w:p>
      <w:pPr>
        <w:pStyle w:val="Compact"/>
        <w:numPr>
          <w:ilvl w:val="0"/>
          <w:numId w:val="1001"/>
        </w:numPr>
      </w:pPr>
      <w:r>
        <w:t xml:space="preserve">Сервисы HTTP, HTTPS и ssh-custom добавлены в постоянную конфигурацию.</w:t>
      </w:r>
    </w:p>
    <w:p>
      <w:pPr>
        <w:pStyle w:val="Compact"/>
        <w:numPr>
          <w:ilvl w:val="0"/>
          <w:numId w:val="1001"/>
        </w:numPr>
      </w:pPr>
      <w:r>
        <w:t xml:space="preserve">Настроено перенаправление 2022/tcp на 22/tcp.</w:t>
      </w:r>
    </w:p>
    <w:p>
      <w:pPr>
        <w:pStyle w:val="Compact"/>
        <w:numPr>
          <w:ilvl w:val="0"/>
          <w:numId w:val="1001"/>
        </w:numPr>
      </w:pPr>
      <w:r>
        <w:t xml:space="preserve">Включена IPv4-маршрутизация и маскарадинг для внутренней сети.</w:t>
      </w:r>
    </w:p>
    <w:p>
      <w:pPr>
        <w:pStyle w:val="Compact"/>
        <w:numPr>
          <w:ilvl w:val="0"/>
          <w:numId w:val="1001"/>
        </w:numPr>
      </w:pPr>
      <w:r>
        <w:t xml:space="preserve">Клиент успешно подключился к SSH через порт 2022 и получил доступ во внешнюю сеть.</w:t>
      </w:r>
    </w:p>
    <w:p>
      <w:pPr>
        <w:pStyle w:val="Compact"/>
        <w:numPr>
          <w:ilvl w:val="0"/>
          <w:numId w:val="1001"/>
        </w:numPr>
      </w:pPr>
      <w:r>
        <w:t xml:space="preserve">Сценарий server-firewall закрепил настройки.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firewalld управляет правилами фильтрации по зонам и сервисам. Маскарадинг подменяет исходный адрес пакетов, а ip_forward разрешает ядру маршрутизацию между интерфейсами.</w:t>
      </w:r>
    </w:p>
    <w:bookmarkEnd w:id="11"/>
    <w:bookmarkStart w:id="42" w:name="выполнение-работы"/>
    <w:p>
      <w:pPr>
        <w:pStyle w:val="Heading1"/>
      </w:pPr>
      <w:r>
        <w:t xml:space="preserve">4. Выполнение работы</w:t>
      </w:r>
    </w:p>
    <w:bookmarkStart w:id="16" w:name="пользовательский-сервис-ssh-custom"/>
    <w:p>
      <w:pPr>
        <w:pStyle w:val="Heading2"/>
      </w:pPr>
      <w:r>
        <w:t xml:space="preserve">4.1 Пользовательский сервис ssh-custom</w:t>
      </w:r>
    </w:p>
    <w:p>
      <w:pPr>
        <w:pStyle w:val="FirstParagraph"/>
      </w:pPr>
      <w:r>
        <w:t xml:space="preserve">Создано описание firewalld-сервиса ssh-custom для TCP-порта 2022. XML-файл позволяет управлять правилом по понятному имени.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7-001"/>
          <w:p>
            <w:pPr>
              <w:pStyle w:val="Compact"/>
              <w:jc w:val="center"/>
            </w:pPr>
            <w:r>
              <w:drawing>
                <wp:inline>
                  <wp:extent cx="5067300" cy="5878696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878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Пользовательский сервис ssh-custom</w:t>
            </w:r>
          </w:p>
          <w:bookmarkEnd w:id="15"/>
        </w:tc>
      </w:tr>
    </w:tbl>
    <w:bookmarkEnd w:id="16"/>
    <w:bookmarkStart w:id="21" w:name="разрешённые-сетевые-сервисы"/>
    <w:p>
      <w:pPr>
        <w:pStyle w:val="Heading2"/>
      </w:pPr>
      <w:r>
        <w:t xml:space="preserve">4.2 Разрешённые сетевые сервисы</w:t>
      </w:r>
    </w:p>
    <w:p>
      <w:pPr>
        <w:pStyle w:val="FirstParagraph"/>
      </w:pPr>
      <w:r>
        <w:t xml:space="preserve">В постоянную конфигурацию зоны добавлены HTTP, HTTPS и ssh-custom. После reload они отображаются в списке services.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7-002"/>
          <w:p>
            <w:pPr>
              <w:pStyle w:val="Compact"/>
              <w:jc w:val="center"/>
            </w:pPr>
            <w:r>
              <w:drawing>
                <wp:inline>
                  <wp:extent cx="5067300" cy="1569848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69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Разрешённые сетевые сервисы</w:t>
            </w:r>
          </w:p>
          <w:bookmarkEnd w:id="20"/>
        </w:tc>
      </w:tr>
    </w:tbl>
    <w:bookmarkEnd w:id="21"/>
    <w:bookmarkStart w:id="26" w:name="перенаправление-порта"/>
    <w:p>
      <w:pPr>
        <w:pStyle w:val="Heading2"/>
      </w:pPr>
      <w:r>
        <w:t xml:space="preserve">4.3 Перенаправление порта</w:t>
      </w:r>
    </w:p>
    <w:p>
      <w:pPr>
        <w:pStyle w:val="FirstParagraph"/>
      </w:pPr>
      <w:r>
        <w:t xml:space="preserve">Настроено перенаправление входящих соединений с 2022/tcp на стандартный SSH-порт 22. Правило позволяет изменить внешний порт без перенастройки sshd.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7-003"/>
          <w:p>
            <w:pPr>
              <w:pStyle w:val="Compact"/>
              <w:jc w:val="center"/>
            </w:pPr>
            <w:r>
              <w:drawing>
                <wp:inline>
                  <wp:extent cx="5067300" cy="483161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831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Перенаправление порта</w:t>
            </w:r>
          </w:p>
          <w:bookmarkEnd w:id="25"/>
        </w:tc>
      </w:tr>
    </w:tbl>
    <w:bookmarkEnd w:id="26"/>
    <w:bookmarkStart w:id="31" w:name="маршрутизация-ipv4"/>
    <w:p>
      <w:pPr>
        <w:pStyle w:val="Heading2"/>
      </w:pPr>
      <w:r>
        <w:t xml:space="preserve">4.4 Маршрутизация IPv4</w:t>
      </w:r>
    </w:p>
    <w:p>
      <w:pPr>
        <w:pStyle w:val="FirstParagraph"/>
      </w:pPr>
      <w:r>
        <w:t xml:space="preserve">Параметр net.ipv4.ip_forward включён через sysctl. Сервер теперь может пересылать пакеты между своими интерфейсами.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7-004"/>
          <w:p>
            <w:pPr>
              <w:pStyle w:val="Compact"/>
              <w:jc w:val="center"/>
            </w:pPr>
            <w:r>
              <w:drawing>
                <wp:inline>
                  <wp:extent cx="5067300" cy="389297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92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Маршрутизация IPv4</w:t>
            </w:r>
          </w:p>
          <w:bookmarkEnd w:id="30"/>
        </w:tc>
      </w:tr>
    </w:tbl>
    <w:bookmarkEnd w:id="31"/>
    <w:bookmarkStart w:id="36" w:name="маскарадинг-и-доступ-клиента"/>
    <w:p>
      <w:pPr>
        <w:pStyle w:val="Heading2"/>
      </w:pPr>
      <w:r>
        <w:t xml:space="preserve">4.5 Маскарадинг и доступ клиента</w:t>
      </w:r>
    </w:p>
    <w:p>
      <w:pPr>
        <w:pStyle w:val="FirstParagraph"/>
      </w:pPr>
      <w:r>
        <w:t xml:space="preserve">В зоне включён masquerade, после чего клиент получил доступ через сервер. Проверка соединения показывает работу трансляции исходных адресов.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7-005"/>
          <w:p>
            <w:pPr>
              <w:pStyle w:val="Compact"/>
              <w:jc w:val="center"/>
            </w:pPr>
            <w:r>
              <w:drawing>
                <wp:inline>
                  <wp:extent cx="5067300" cy="198080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80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Маскарадинг и доступ клиента</w:t>
            </w:r>
          </w:p>
          <w:bookmarkEnd w:id="35"/>
        </w:tc>
      </w:tr>
    </w:tbl>
    <w:bookmarkEnd w:id="36"/>
    <w:bookmarkStart w:id="41" w:name="финальная-проверка-firewalld"/>
    <w:p>
      <w:pPr>
        <w:pStyle w:val="Heading2"/>
      </w:pPr>
      <w:r>
        <w:t xml:space="preserve">4.6 Финальная проверка firewalld</w:t>
      </w:r>
    </w:p>
    <w:p>
      <w:pPr>
        <w:pStyle w:val="FirstParagraph"/>
      </w:pPr>
      <w:r>
        <w:t xml:space="preserve">Выведена итоговая конфигурация зоны и выполнен provision-сценарий. В результате правила сохраняются после перезагрузки и воспроизводятся автоматически.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7-006"/>
          <w:p>
            <w:pPr>
              <w:pStyle w:val="Compact"/>
              <w:jc w:val="center"/>
            </w:pPr>
            <w:r>
              <w:drawing>
                <wp:inline>
                  <wp:extent cx="5067300" cy="337643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76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Финальная проверка firewalld</w:t>
            </w:r>
          </w:p>
          <w:bookmarkEnd w:id="40"/>
        </w:tc>
      </w:tr>
    </w:tbl>
    <w:bookmarkEnd w:id="41"/>
    <w:bookmarkEnd w:id="42"/>
    <w:bookmarkStart w:id="4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firewalld фильтрует доступ к службам, перенаправляет порт 2022 на SSH и обеспечивает маршрутизацию внутренней сети через маскарадинг.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7</dc:title>
  <dc:creator>Баранов Никита Дмитриевич</dc:creator>
  <dc:language>ru-RU</dc:language>
  <cp:keywords/>
  <dcterms:created xsi:type="dcterms:W3CDTF">2026-09-14T12:16:29Z</dcterms:created>
  <dcterms:modified xsi:type="dcterms:W3CDTF">2026-09-14T12:16:29Z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межсетевого экрана</vt:lpwstr>
  </property>
  <property fmtid="{D5CDD505-2E9C-101B-9397-08002B2CF9AE}" pid="18" name="toc-title">
    <vt:lpwstr>Содержание</vt:lpwstr>
  </property>
</Properties>
</file>