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10</w:t>
      </w:r>
    </w:p>
    <w:p>
      <w:pPr>
        <w:pStyle w:val="Subtitle"/>
      </w:pPr>
      <w:r>
        <w:t xml:space="preserve">Расширенная настройка SMTP-сервера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интеграцию Postfix с Dovecot, LMTP, SMTP AUTH и TLS.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 Dovecot включён LMTP и сокет /var/spool/postfix/private/dovecot-lmtp.</w:t>
      </w:r>
    </w:p>
    <w:p>
      <w:pPr>
        <w:pStyle w:val="Compact"/>
        <w:numPr>
          <w:ilvl w:val="0"/>
          <w:numId w:val="1001"/>
        </w:numPr>
      </w:pPr>
      <w:r>
        <w:t xml:space="preserve">Postfix переведён на доставку через LMTP; журнал показал status=sent.</w:t>
      </w:r>
    </w:p>
    <w:p>
      <w:pPr>
        <w:pStyle w:val="Compact"/>
        <w:numPr>
          <w:ilvl w:val="0"/>
          <w:numId w:val="1001"/>
        </w:numPr>
      </w:pPr>
      <w:r>
        <w:t xml:space="preserve">Письмо LMTP появилось в Maildir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В Dovecot настроен auth-сокет для Postfix.</w:t>
      </w:r>
    </w:p>
    <w:p>
      <w:pPr>
        <w:pStyle w:val="Compact"/>
        <w:numPr>
          <w:ilvl w:val="0"/>
          <w:numId w:val="1001"/>
        </w:numPr>
      </w:pPr>
      <w:r>
        <w:t xml:space="preserve">В Postfix включены SASL, TLS, сертификаты Dovecot и submission-сервис на 587/tcp.</w:t>
      </w:r>
    </w:p>
    <w:p>
      <w:pPr>
        <w:pStyle w:val="Compact"/>
        <w:numPr>
          <w:ilvl w:val="0"/>
          <w:numId w:val="1001"/>
        </w:numPr>
      </w:pPr>
      <w:r>
        <w:t xml:space="preserve">Проверка openssl s_client показала TLS-рукопожатие и SMTP AUTH LOGIN.</w:t>
      </w:r>
    </w:p>
    <w:p>
      <w:pPr>
        <w:pStyle w:val="Compact"/>
        <w:numPr>
          <w:ilvl w:val="0"/>
          <w:numId w:val="1001"/>
        </w:numPr>
      </w:pPr>
      <w:r>
        <w:t xml:space="preserve">Сценарий advanced-mail-server успешно завершил настройку.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LMTP передаёт письма от MTA в локальное хранилище, SASL добавляет аутентификацию SMTP-клиента, а STARTTLS шифрует транспорт на порту 587.</w:t>
      </w:r>
    </w:p>
    <w:bookmarkEnd w:id="11"/>
    <w:bookmarkStart w:id="67" w:name="выполнение-работы"/>
    <w:p>
      <w:pPr>
        <w:pStyle w:val="Heading1"/>
      </w:pPr>
      <w:r>
        <w:t xml:space="preserve">4. Выполнение работы</w:t>
      </w:r>
    </w:p>
    <w:bookmarkStart w:id="16" w:name="сокет-dovecot-lmtp"/>
    <w:p>
      <w:pPr>
        <w:pStyle w:val="Heading2"/>
      </w:pPr>
      <w:r>
        <w:t xml:space="preserve">4.1 Сокет Dovecot LMTP</w:t>
      </w:r>
    </w:p>
    <w:p>
      <w:pPr>
        <w:pStyle w:val="FirstParagraph"/>
      </w:pPr>
      <w:r>
        <w:t xml:space="preserve">На данном снимке Dovecot включён протокол LMTP и создан сокет внутри каталога Postfix. Через него MTA передаёт письма локальному агенту доставки.</w:t>
      </w:r>
    </w:p>
    <w:p>
      <w:pPr>
        <w:pStyle w:val="BodyText"/>
      </w:pPr>
      <w:r>
        <w:t xml:space="preserve">LMTP работает как локальный транспорт доставки: Postfix принимает SMTP-сообщение, а затем передаёт его Dovecot через Unix-сокет. Размещение сокета внутри chroot-каталога Postfix и права пользователя postfix принципиальны: при неверном пути или владельце MTA не сможет подключиться к службе доставки.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0-001"/>
          <w:p>
            <w:pPr>
              <w:pStyle w:val="Compact"/>
              <w:jc w:val="center"/>
            </w:pPr>
            <w:r>
              <w:drawing>
                <wp:inline>
                  <wp:extent cx="5067300" cy="149764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97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Сокет Dovecot LMTP</w:t>
            </w:r>
          </w:p>
          <w:bookmarkEnd w:id="15"/>
        </w:tc>
      </w:tr>
    </w:tbl>
    <w:bookmarkEnd w:id="16"/>
    <w:bookmarkStart w:id="21" w:name="передача-доставки-в-lmtp"/>
    <w:p>
      <w:pPr>
        <w:pStyle w:val="Heading2"/>
      </w:pPr>
      <w:r>
        <w:t xml:space="preserve">4.2 Передача доставки в LMTP</w:t>
      </w:r>
    </w:p>
    <w:p>
      <w:pPr>
        <w:pStyle w:val="FirstParagraph"/>
      </w:pPr>
      <w:r>
        <w:t xml:space="preserve">На данном снимке main.cf Postfix параметр mailbox_transport переключён на dovecot-lmtp. Конфигурация связывает приём SMTP с хранением Dovecot.</w:t>
      </w:r>
    </w:p>
    <w:p>
      <w:pPr>
        <w:pStyle w:val="BodyText"/>
      </w:pPr>
      <w:r>
        <w:t xml:space="preserve">Параметр mailbox_transport определяет дальнейший маршрут уже принятого письма. После изменения main.cf фактическое значение проверяется через postconf, потому что эта команда показывает применённую настройку с учётом всех файлов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0-002"/>
          <w:p>
            <w:pPr>
              <w:pStyle w:val="Compact"/>
              <w:jc w:val="center"/>
            </w:pPr>
            <w:r>
              <w:drawing>
                <wp:inline>
                  <wp:extent cx="5067300" cy="549223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492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Передача доставки в LMTP</w:t>
            </w:r>
          </w:p>
          <w:bookmarkEnd w:id="20"/>
        </w:tc>
      </w:tr>
    </w:tbl>
    <w:bookmarkEnd w:id="21"/>
    <w:bookmarkStart w:id="26" w:name="успешная-lmtp-доставка"/>
    <w:p>
      <w:pPr>
        <w:pStyle w:val="Heading2"/>
      </w:pPr>
      <w:r>
        <w:t xml:space="preserve">4.3 Успешная LMTP-доставка</w:t>
      </w:r>
    </w:p>
    <w:p>
      <w:pPr>
        <w:pStyle w:val="FirstParagraph"/>
      </w:pPr>
      <w:r>
        <w:t xml:space="preserve">На данном снимке почтовом журнале для тестового сообщения указан status=sent и транспорт LMTP. Это подтверждает прохождение письма через новый маршрут.</w:t>
      </w:r>
    </w:p>
    <w:p>
      <w:pPr>
        <w:pStyle w:val="BodyText"/>
      </w:pPr>
      <w:r>
        <w:t xml:space="preserve">Запись status=sent в журнале означает завершение передачи следующему компоненту, а упоминание dovecot-lmtp позволяет отличить новую схему от прямой локальной доставки Postfix. Одновременно идентификатор очереди связывает этапы обработки одного сообщения.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0-003"/>
          <w:p>
            <w:pPr>
              <w:pStyle w:val="Compact"/>
              <w:jc w:val="center"/>
            </w:pPr>
            <w:r>
              <w:drawing>
                <wp:inline>
                  <wp:extent cx="5067300" cy="553080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530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Успешная LMTP-доставка</w:t>
            </w:r>
          </w:p>
          <w:bookmarkEnd w:id="25"/>
        </w:tc>
      </w:tr>
    </w:tbl>
    <w:bookmarkEnd w:id="26"/>
    <w:bookmarkStart w:id="31" w:name="письмо-в-maildir"/>
    <w:p>
      <w:pPr>
        <w:pStyle w:val="Heading2"/>
      </w:pPr>
      <w:r>
        <w:t xml:space="preserve">4.4 Письмо в Maildir</w:t>
      </w:r>
    </w:p>
    <w:p>
      <w:pPr>
        <w:pStyle w:val="FirstParagraph"/>
      </w:pPr>
      <w:r>
        <w:t xml:space="preserve">Файл доставленного сообщения появился в каталоге Maildir пользователя. Содержимое заголовков соответствует отправленному тесту.</w:t>
      </w:r>
    </w:p>
    <w:p>
      <w:pPr>
        <w:pStyle w:val="BodyText"/>
      </w:pPr>
      <w:r>
        <w:t xml:space="preserve">Maildir хранит каждое сообщение отдельным файлом в каталогах new, cur и tmp. Появление файла в new подтверждает не только приём SMTP, но и успешную локальную доставку до почтового хранилища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0-004"/>
          <w:p>
            <w:pPr>
              <w:pStyle w:val="Compact"/>
              <w:jc w:val="center"/>
            </w:pPr>
            <w:r>
              <w:drawing>
                <wp:inline>
                  <wp:extent cx="5067300" cy="45347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53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Письмо в Maildir</w:t>
            </w:r>
          </w:p>
          <w:bookmarkEnd w:id="30"/>
        </w:tc>
      </w:tr>
    </w:tbl>
    <w:bookmarkEnd w:id="31"/>
    <w:bookmarkStart w:id="36" w:name="auth-сокет-для-postfix"/>
    <w:p>
      <w:pPr>
        <w:pStyle w:val="Heading2"/>
      </w:pPr>
      <w:r>
        <w:t xml:space="preserve">4.5 Auth-сокет для Postfix</w:t>
      </w:r>
    </w:p>
    <w:p>
      <w:pPr>
        <w:pStyle w:val="FirstParagraph"/>
      </w:pPr>
      <w:r>
        <w:t xml:space="preserve">Dovecot создаёт private/auth с правами пользователя postfix. Этот сокет используется SMTP-сервером для проверки имени и пароля.</w:t>
      </w:r>
    </w:p>
    <w:p>
      <w:pPr>
        <w:pStyle w:val="BodyText"/>
      </w:pPr>
      <w:r>
        <w:t xml:space="preserve">SMTP AUTH в данной схеме использует механизм SASL Dovecot. Postfix обращается к private/auth, поэтому аутентификация выполняется единым набором учётных данных, а запрет anonymous исключает подключение без проверки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0-005"/>
          <w:p>
            <w:pPr>
              <w:pStyle w:val="Compact"/>
              <w:jc w:val="center"/>
            </w:pPr>
            <w:r>
              <w:drawing>
                <wp:inline>
                  <wp:extent cx="5067300" cy="148169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81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Auth-сокет для Postfix</w:t>
            </w:r>
          </w:p>
          <w:bookmarkEnd w:id="35"/>
        </w:tc>
      </w:tr>
    </w:tbl>
    <w:bookmarkEnd w:id="36"/>
    <w:bookmarkStart w:id="41" w:name="включение-smtp-auth"/>
    <w:p>
      <w:pPr>
        <w:pStyle w:val="Heading2"/>
      </w:pPr>
      <w:r>
        <w:t xml:space="preserve">4.6 Включение SMTP AUTH</w:t>
      </w:r>
    </w:p>
    <w:p>
      <w:pPr>
        <w:pStyle w:val="FirstParagraph"/>
      </w:pPr>
      <w:r>
        <w:t xml:space="preserve">На данном снимке Postfix активирован SASL через Dovecot и запрещена анонимная аутентификация. postconf показывает выбранный тип и путь сокета.</w:t>
      </w:r>
    </w:p>
    <w:p>
      <w:pPr>
        <w:pStyle w:val="BodyText"/>
      </w:pPr>
      <w:r>
        <w:t xml:space="preserve">TLS защищает учётные данные и содержимое SMTP-сеанса. Сертификат и закрытый ключ должны читаться службами, а STARTTLS переводит уже установленное соединение в шифрованный режим после соответствующей команды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0-006"/>
          <w:p>
            <w:pPr>
              <w:pStyle w:val="Compact"/>
              <w:jc w:val="center"/>
            </w:pPr>
            <w:r>
              <w:drawing>
                <wp:inline>
                  <wp:extent cx="5067300" cy="489161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891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Включение SMTP AUTH</w:t>
            </w:r>
          </w:p>
          <w:bookmarkEnd w:id="40"/>
        </w:tc>
      </w:tr>
    </w:tbl>
    <w:bookmarkEnd w:id="41"/>
    <w:bookmarkStart w:id="46" w:name="tls-сертификаты"/>
    <w:p>
      <w:pPr>
        <w:pStyle w:val="Heading2"/>
      </w:pPr>
      <w:r>
        <w:t xml:space="preserve">4.7 TLS-сертификаты</w:t>
      </w:r>
    </w:p>
    <w:p>
      <w:pPr>
        <w:pStyle w:val="FirstParagraph"/>
      </w:pPr>
      <w:r>
        <w:t xml:space="preserve">Для SMTP указаны сертификат и закрытый ключ Dovecot, включён STARTTLS. Проверка конфигурации не выявила ошибок доступа к файлам.</w:t>
      </w:r>
    </w:p>
    <w:p>
      <w:pPr>
        <w:pStyle w:val="BodyText"/>
      </w:pPr>
      <w:r>
        <w:t xml:space="preserve">Порт 587 предназначен для отправки почты аутентифицированными клиентами. Отдельные параметры submission позволяют потребовать SASL и шифрование, не меняя правила обмена между почтовыми серверами на порту 25.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0-007"/>
          <w:p>
            <w:pPr>
              <w:pStyle w:val="Compact"/>
              <w:jc w:val="center"/>
            </w:pPr>
            <w:r>
              <w:drawing>
                <wp:inline>
                  <wp:extent cx="5067300" cy="532758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327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TLS-сертификаты</w:t>
            </w:r>
          </w:p>
          <w:bookmarkEnd w:id="45"/>
        </w:tc>
      </w:tr>
    </w:tbl>
    <w:bookmarkEnd w:id="46"/>
    <w:bookmarkStart w:id="51" w:name="сервис-submission"/>
    <w:p>
      <w:pPr>
        <w:pStyle w:val="Heading2"/>
      </w:pPr>
      <w:r>
        <w:t xml:space="preserve">4.8 Сервис submission</w:t>
      </w:r>
    </w:p>
    <w:p>
      <w:pPr>
        <w:pStyle w:val="FirstParagraph"/>
      </w:pPr>
      <w:r>
        <w:t xml:space="preserve">На данном снимке master.cf включён submission на порту 587 с обязательной аутентификацией. Firewalld разрешает подключение почтовых клиентов к этому порту.</w:t>
      </w:r>
    </w:p>
    <w:p>
      <w:pPr>
        <w:pStyle w:val="BodyText"/>
      </w:pPr>
      <w:r>
        <w:t xml:space="preserve">openssl s_client показывает сертификат, согласованный протокол и ответы SMTP после EHLO. Код 235 указывает, что AUTH LOGIN завершён успешно; это более содержательная проверка, чем простое наличие открытого TCP-порта.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0-008"/>
          <w:p>
            <w:pPr>
              <w:pStyle w:val="Compact"/>
              <w:jc w:val="center"/>
            </w:pPr>
            <w:r>
              <w:drawing>
                <wp:inline>
                  <wp:extent cx="5067300" cy="50673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06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Сервис submission</w:t>
            </w:r>
          </w:p>
          <w:bookmarkEnd w:id="50"/>
        </w:tc>
      </w:tr>
    </w:tbl>
    <w:bookmarkEnd w:id="51"/>
    <w:bookmarkStart w:id="56" w:name="tls-рукопожатие-openssl"/>
    <w:p>
      <w:pPr>
        <w:pStyle w:val="Heading2"/>
      </w:pPr>
      <w:r>
        <w:t xml:space="preserve">4.9 TLS-рукопожатие openssl</w:t>
      </w:r>
    </w:p>
    <w:p>
      <w:pPr>
        <w:pStyle w:val="FirstParagraph"/>
      </w:pPr>
      <w:r>
        <w:t xml:space="preserve">openssl s_client установил зашифрованное соединение и вывел сертификат сервера. Команда EHLO показывает поддержку STARTTLS и AUTH.</w:t>
      </w:r>
    </w:p>
    <w:p>
      <w:pPr>
        <w:pStyle w:val="BodyText"/>
      </w:pPr>
      <w:r>
        <w:t xml:space="preserve">Provision-сценарий фиксирует пакеты, изменения конфигурации, правила firewalld и перезапуски служб. Повторный запуск должен оставлять систему в том же состоянии, что подтверждает воспроизводимость настройки.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10-009"/>
          <w:p>
            <w:pPr>
              <w:pStyle w:val="Compact"/>
              <w:jc w:val="center"/>
            </w:pPr>
            <w:r>
              <w:drawing>
                <wp:inline>
                  <wp:extent cx="5067300" cy="498770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98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TLS-рукопожатие openssl</w:t>
            </w:r>
          </w:p>
          <w:bookmarkEnd w:id="55"/>
        </w:tc>
      </w:tr>
    </w:tbl>
    <w:bookmarkEnd w:id="56"/>
    <w:bookmarkStart w:id="61" w:name="проверка-auth-login"/>
    <w:p>
      <w:pPr>
        <w:pStyle w:val="Heading2"/>
      </w:pPr>
      <w:r>
        <w:t xml:space="preserve">4.10 Проверка AUTH LOGIN</w:t>
      </w:r>
    </w:p>
    <w:p>
      <w:pPr>
        <w:pStyle w:val="FirstParagraph"/>
      </w:pPr>
      <w:r>
        <w:t xml:space="preserve">На данном снимке тестовом SMTP-сеансе сервер принял корректные учётные данные. Ответ 235 означает успешную аутентификацию клиента.</w:t>
      </w:r>
    </w:p>
    <w:p>
      <w:pPr>
        <w:pStyle w:val="BodyText"/>
      </w:pPr>
      <w:r>
        <w:t xml:space="preserve">Provision-сценарий фиксирует пакеты, изменения конфигурации, правила firewalld и перезапуски служб. Повторный запуск должен оставлять систему в том же состоянии, что подтверждает воспроизводимость настройки.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0-010"/>
          <w:p>
            <w:pPr>
              <w:pStyle w:val="Compact"/>
              <w:jc w:val="center"/>
            </w:pPr>
            <w:r>
              <w:drawing>
                <wp:inline>
                  <wp:extent cx="5067300" cy="599964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99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AUTH LOGIN</w:t>
            </w:r>
          </w:p>
          <w:bookmarkEnd w:id="60"/>
        </w:tc>
      </w:tr>
    </w:tbl>
    <w:bookmarkEnd w:id="61"/>
    <w:bookmarkStart w:id="66" w:name="автоматизация-расширенной-почты"/>
    <w:p>
      <w:pPr>
        <w:pStyle w:val="Heading2"/>
      </w:pPr>
      <w:r>
        <w:t xml:space="preserve">4.11 Автоматизация расширенной почты</w:t>
      </w:r>
    </w:p>
    <w:p>
      <w:pPr>
        <w:pStyle w:val="FirstParagraph"/>
      </w:pPr>
      <w:r>
        <w:t xml:space="preserve">Сценарий advanced-mail-server последовательно применяет LMTP, SASL, TLS и submission. Его завершение подтверждает воспроизводимость настройки.</w:t>
      </w:r>
    </w:p>
    <w:p>
      <w:pPr>
        <w:pStyle w:val="BodyText"/>
      </w:pPr>
      <w:r>
        <w:t xml:space="preserve">Provision-сценарий фиксирует пакеты, изменения конфигурации, правила firewalld и перезапуски служб. Повторный запуск должен оставлять систему в том же состоянии, что подтверждает воспроизводимость настройки.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0-011"/>
          <w:p>
            <w:pPr>
              <w:pStyle w:val="Compact"/>
              <w:jc w:val="center"/>
            </w:pPr>
            <w:r>
              <w:drawing>
                <wp:inline>
                  <wp:extent cx="5067300" cy="538995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389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Автоматизация расширенной почты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Postfix и Dovecot объединены через LMTP и SASL, а submission защищён TLS. Проверка openssl подтверждает шифрованное SMTP-соединение и объявление AUTH.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10</dc:title>
  <dc:creator>Баранов Никита Дмитриевич</dc:creator>
  <dc:language>ru-RU</dc:language>
  <cp:keywords/>
  <dcterms:created xsi:type="dcterms:W3CDTF">2026-09-14T12:26:52Z</dcterms:created>
  <dcterms:modified xsi:type="dcterms:W3CDTF">2026-09-14T12:26:52Z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Расширенная настройка SMTP-сервера</vt:lpwstr>
  </property>
  <property fmtid="{D5CDD505-2E9C-101B-9397-08002B2CF9AE}" pid="18" name="toc-title">
    <vt:lpwstr>Содержание</vt:lpwstr>
  </property>
</Properties>
</file>