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17.png" ContentType="image/png"/>
  <Override PartName="/word/media/rId22.png" ContentType="image/png"/>
  <Override PartName="/word/media/rId27.png" ContentType="image/png"/>
  <Override PartName="/word/media/rId32.png" ContentType="image/png"/>
  <Override PartName="/word/media/rId37.png" ContentType="image/png"/>
  <Override PartName="/word/media/rId42.png" ContentType="image/png"/>
  <Override PartName="/word/media/rId47.png" ContentType="image/png"/>
  <Override PartName="/word/media/rId52.png" ContentType="image/png"/>
  <Override PartName="/word/media/rId57.png" ContentType="image/png"/>
  <Override PartName="/word/media/rId62.png" ContentType="image/png"/>
  <Override PartName="/word/media/rId67.png" ContentType="image/png"/>
  <Override PartName="/word/media/rId72.png" ContentType="image/png"/>
  <Override PartName="/word/media/rId77.png" ContentType="image/png"/>
  <Override PartName="/word/media/rId82.png" ContentType="image/png"/>
  <Override PartName="/word/media/rId87.png" ContentType="image/png"/>
  <Override PartName="/word/media/rId92.png" ContentType="image/png"/>
  <Override PartName="/word/media/rId97.png" ContentType="image/png"/>
  <Override PartName="/word/media/rId102.png" ContentType="image/png"/>
  <Override PartName="/word/media/rId107.png" ContentType="image/png"/>
  <Override PartName="/word/media/rId112.png" ContentType="image/png"/>
  <Override PartName="/word/media/rId117.png" ContentType="image/png"/>
  <Override PartName="/word/media/rId122.png" ContentType="image/png"/>
  <Override PartName="/word/media/rId127.png" ContentType="image/png"/>
  <Override PartName="/word/media/rId132.png" ContentType="image/png"/>
  <Override PartName="/word/media/rId137.png" ContentType="image/png"/>
  <Override PartName="/word/media/rId142.png" ContentType="image/png"/>
  <Override PartName="/word/media/rId14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 9</w:t>
      </w:r>
    </w:p>
    <w:p>
      <w:pPr>
        <w:pStyle w:val="Subtitle"/>
      </w:pPr>
      <w:r>
        <w:t xml:space="preserve">Методы кодирования и модуляция сигналов</w:t>
      </w:r>
    </w:p>
    <w:p>
      <w:pPr>
        <w:pStyle w:val="Author"/>
      </w:pPr>
      <w:r>
        <w:t xml:space="preserve">Баранов Никита Дмитриевич</w:t>
      </w:r>
    </w:p>
    <w:p>
      <w:pPr>
        <w:pStyle w:val="Date"/>
      </w:pPr>
      <w:r>
        <w:t xml:space="preserve">2026-09-14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Исследовать спектр, линейное кодирование, амплитудную модуляцию и самосинхронизацию в Octave.</w:t>
      </w:r>
    </w:p>
    <w:bookmarkEnd w:id="9"/>
    <w:bookmarkStart w:id="10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Сформирован периодический сигнал и исследовано приближение рядом Фурье.</w:t>
      </w:r>
    </w:p>
    <w:p>
      <w:pPr>
        <w:pStyle w:val="Compact"/>
        <w:numPr>
          <w:ilvl w:val="0"/>
          <w:numId w:val="1001"/>
        </w:numPr>
      </w:pPr>
      <w:r>
        <w:t xml:space="preserve">Сравнены спектры исходного и модифицированного сигналов.</w:t>
      </w:r>
    </w:p>
    <w:p>
      <w:pPr>
        <w:pStyle w:val="Compact"/>
        <w:numPr>
          <w:ilvl w:val="0"/>
          <w:numId w:val="1001"/>
        </w:numPr>
      </w:pPr>
      <w:r>
        <w:t xml:space="preserve">Построен амплитудно-модулированный сигнал и его спектр с боковыми составляющими.</w:t>
      </w:r>
    </w:p>
    <w:p>
      <w:pPr>
        <w:pStyle w:val="Compact"/>
        <w:numPr>
          <w:ilvl w:val="0"/>
          <w:numId w:val="1001"/>
        </w:numPr>
      </w:pPr>
      <w:r>
        <w:t xml:space="preserve">Реализованы unipolar, AMI, bipolar NRZ/RZ, Manchester и Differential Manchester.</w:t>
      </w:r>
    </w:p>
    <w:p>
      <w:pPr>
        <w:pStyle w:val="Compact"/>
        <w:numPr>
          <w:ilvl w:val="0"/>
          <w:numId w:val="1001"/>
        </w:numPr>
      </w:pPr>
      <w:r>
        <w:t xml:space="preserve">Для каждого кода построены временная диаграмма и спектр.</w:t>
      </w:r>
    </w:p>
    <w:p>
      <w:pPr>
        <w:pStyle w:val="Compact"/>
        <w:numPr>
          <w:ilvl w:val="0"/>
          <w:numId w:val="1001"/>
        </w:numPr>
      </w:pPr>
      <w:r>
        <w:t xml:space="preserve">Самосинхронизация оценена по количеству гарантированных переходов уровня.</w:t>
      </w:r>
    </w:p>
    <w:bookmarkEnd w:id="10"/>
    <w:bookmarkStart w:id="11" w:name="теоретические-сведения"/>
    <w:p>
      <w:pPr>
        <w:pStyle w:val="Heading1"/>
      </w:pPr>
      <w:r>
        <w:t xml:space="preserve">3. Теоретические сведения</w:t>
      </w:r>
    </w:p>
    <w:p>
      <w:pPr>
        <w:pStyle w:val="FirstParagraph"/>
      </w:pPr>
      <w:r>
        <w:t xml:space="preserve">VLAN делит одну физическую сеть на изолированные широковещательные домены. Транк 802.1Q переносит кадры нескольких VLAN с метками.</w:t>
      </w:r>
    </w:p>
    <w:bookmarkEnd w:id="11"/>
    <w:bookmarkStart w:id="152" w:name="выполнение-работы"/>
    <w:p>
      <w:pPr>
        <w:pStyle w:val="Heading1"/>
      </w:pPr>
      <w:r>
        <w:t xml:space="preserve">4. Выполнение работы</w:t>
      </w:r>
    </w:p>
    <w:bookmarkStart w:id="16" w:name="график-сигнала-и-результат-расчёта"/>
    <w:p>
      <w:pPr>
        <w:pStyle w:val="Heading2"/>
      </w:pPr>
      <w:r>
        <w:t xml:space="preserve">4.1 График сигнала и результат расчёта</w:t>
      </w:r>
    </w:p>
    <w:p>
      <w:pPr>
        <w:pStyle w:val="FirstParagraph"/>
      </w:pPr>
      <w:r>
        <w:t xml:space="preserve">Временная диаграмма кода AMI построена для заданной двоичной последовательности. По чередованию положительных, отрицательных и нулевых уровней можно проследить правило преобразования каждого бита.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" w:name="fig-09-001"/>
          <w:p>
            <w:pPr>
              <w:pStyle w:val="Compact"/>
              <w:jc w:val="center"/>
            </w:pPr>
            <w:r>
              <w:drawing>
                <wp:inline>
                  <wp:extent cx="5067300" cy="3802611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image/001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67300" cy="380261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График сигнала и результат расчёта</w:t>
            </w:r>
          </w:p>
          <w:bookmarkEnd w:id="15"/>
        </w:tc>
      </w:tr>
    </w:tbl>
    <w:bookmarkEnd w:id="16"/>
    <w:bookmarkStart w:id="21" w:name="график-сигнала-и-результат-расчёта-1"/>
    <w:p>
      <w:pPr>
        <w:pStyle w:val="Heading2"/>
      </w:pPr>
      <w:r>
        <w:t xml:space="preserve">4.2 График сигнала и результат расчёта</w:t>
      </w:r>
    </w:p>
    <w:p>
      <w:pPr>
        <w:pStyle w:val="FirstParagraph"/>
      </w:pPr>
      <w:r>
        <w:t xml:space="preserve">Временная диаграмма биполярного NRZ построена для заданной двоичной последовательности. По чередованию положительных, отрицательных и нулевых уровней можно проследить правило преобразования каждого бита.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" w:name="fig-09-002"/>
          <w:p>
            <w:pPr>
              <w:pStyle w:val="Compact"/>
              <w:jc w:val="center"/>
            </w:pPr>
            <w:r>
              <w:drawing>
                <wp:inline>
                  <wp:extent cx="5067300" cy="3802611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image/002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67300" cy="380261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График сигнала и результат расчёта</w:t>
            </w:r>
          </w:p>
          <w:bookmarkEnd w:id="20"/>
        </w:tc>
      </w:tr>
    </w:tbl>
    <w:bookmarkEnd w:id="21"/>
    <w:bookmarkStart w:id="26" w:name="график-сигнала-и-результат-расчёта-2"/>
    <w:p>
      <w:pPr>
        <w:pStyle w:val="Heading2"/>
      </w:pPr>
      <w:r>
        <w:t xml:space="preserve">4.3 График сигнала и результат расчёта</w:t>
      </w:r>
    </w:p>
    <w:p>
      <w:pPr>
        <w:pStyle w:val="FirstParagraph"/>
      </w:pPr>
      <w:r>
        <w:t xml:space="preserve">Временная диаграмма биполярного RZ построена для заданной двоичной последовательности. По чередованию положительных, отрицательных и нулевых уровней можно проследить правило преобразования каждого бита.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09-003"/>
          <w:p>
            <w:pPr>
              <w:pStyle w:val="Compact"/>
              <w:jc w:val="center"/>
            </w:pPr>
            <w:r>
              <w:drawing>
                <wp:inline>
                  <wp:extent cx="5067300" cy="380261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image/003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67300" cy="380261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График сигнала и результат расчёта</w:t>
            </w:r>
          </w:p>
          <w:bookmarkEnd w:id="25"/>
        </w:tc>
      </w:tr>
    </w:tbl>
    <w:bookmarkEnd w:id="26"/>
    <w:bookmarkStart w:id="31" w:name="график-сигнала-и-результат-расчёта-3"/>
    <w:p>
      <w:pPr>
        <w:pStyle w:val="Heading2"/>
      </w:pPr>
      <w:r>
        <w:t xml:space="preserve">4.4 График сигнала и результат расчёта</w:t>
      </w:r>
    </w:p>
    <w:p>
      <w:pPr>
        <w:pStyle w:val="FirstParagraph"/>
      </w:pPr>
      <w:r>
        <w:t xml:space="preserve">Временная диаграмма дифференциального манчестерского кода построена для заданной двоичной последовательности. По чередованию положительных, отрицательных и нулевых уровней можно проследить правило преобразования каждого бита.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" w:name="fig-09-004"/>
          <w:p>
            <w:pPr>
              <w:pStyle w:val="Compact"/>
              <w:jc w:val="center"/>
            </w:pPr>
            <w:r>
              <w:drawing>
                <wp:inline>
                  <wp:extent cx="5067300" cy="3802611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image/004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67300" cy="380261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График сигнала и результат расчёта</w:t>
            </w:r>
          </w:p>
          <w:bookmarkEnd w:id="30"/>
        </w:tc>
      </w:tr>
    </w:tbl>
    <w:bookmarkEnd w:id="31"/>
    <w:bookmarkStart w:id="36" w:name="график-сигнала-и-результат-расчёта-4"/>
    <w:p>
      <w:pPr>
        <w:pStyle w:val="Heading2"/>
      </w:pPr>
      <w:r>
        <w:t xml:space="preserve">4.5 График сигнала и результат расчёта</w:t>
      </w:r>
    </w:p>
    <w:p>
      <w:pPr>
        <w:pStyle w:val="FirstParagraph"/>
      </w:pPr>
      <w:r>
        <w:t xml:space="preserve">Временная диаграмма манчестерского кода построена для заданной двоичной последовательности. По чередованию положительных, отрицательных и нулевых уровней можно проследить правило преобразования каждого бита.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" w:name="fig-09-005"/>
          <w:p>
            <w:pPr>
              <w:pStyle w:val="Compact"/>
              <w:jc w:val="center"/>
            </w:pPr>
            <w:r>
              <w:drawing>
                <wp:inline>
                  <wp:extent cx="5067300" cy="3802611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image/005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67300" cy="380261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График сигнала и результат расчёта</w:t>
            </w:r>
          </w:p>
          <w:bookmarkEnd w:id="35"/>
        </w:tc>
      </w:tr>
    </w:tbl>
    <w:bookmarkEnd w:id="36"/>
    <w:bookmarkStart w:id="41" w:name="Xa71e46d786d888dd7eef7ccb48778bce9e73e3c"/>
    <w:p>
      <w:pPr>
        <w:pStyle w:val="Heading2"/>
      </w:pPr>
      <w:r>
        <w:t xml:space="preserve">4.6 Спектральное представление линейного кода</w:t>
      </w:r>
    </w:p>
    <w:p>
      <w:pPr>
        <w:pStyle w:val="FirstParagraph"/>
      </w:pPr>
      <w:r>
        <w:t xml:space="preserve">Построен амплитудный спектр кода AMI. По распределению линий можно оценить занимаемую полосу и наличие низкочастотной составляющей; график получен из той же битовой последовательности, что и временная диаграмма.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09-006"/>
          <w:p>
            <w:pPr>
              <w:pStyle w:val="Compact"/>
              <w:jc w:val="center"/>
            </w:pPr>
            <w:r>
              <w:drawing>
                <wp:inline>
                  <wp:extent cx="5067300" cy="3802611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image/006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67300" cy="380261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Спектральное представление линейного кода</w:t>
            </w:r>
          </w:p>
          <w:bookmarkEnd w:id="40"/>
        </w:tc>
      </w:tr>
    </w:tbl>
    <w:bookmarkEnd w:id="41"/>
    <w:bookmarkStart w:id="46" w:name="X0c4b4397ad4b70b82f110cec6115b7d31f1cc80"/>
    <w:p>
      <w:pPr>
        <w:pStyle w:val="Heading2"/>
      </w:pPr>
      <w:r>
        <w:t xml:space="preserve">4.7 Спектральное представление линейного кода</w:t>
      </w:r>
    </w:p>
    <w:p>
      <w:pPr>
        <w:pStyle w:val="FirstParagraph"/>
      </w:pPr>
      <w:r>
        <w:t xml:space="preserve">Построен амплитудный спектр биполярного NRZ. По распределению линий можно оценить занимаемую полосу и наличие низкочастотной составляющей; график получен из той же битовой последовательности, что и временная диаграмма.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09-007"/>
          <w:p>
            <w:pPr>
              <w:pStyle w:val="Compact"/>
              <w:jc w:val="center"/>
            </w:pPr>
            <w:r>
              <w:drawing>
                <wp:inline>
                  <wp:extent cx="5067300" cy="3802611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image/007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67300" cy="380261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Спектральное представление линейного кода</w:t>
            </w:r>
          </w:p>
          <w:bookmarkEnd w:id="45"/>
        </w:tc>
      </w:tr>
    </w:tbl>
    <w:bookmarkEnd w:id="46"/>
    <w:bookmarkStart w:id="51" w:name="X4a96960472dd1c3fe3041f742622622e35e4600"/>
    <w:p>
      <w:pPr>
        <w:pStyle w:val="Heading2"/>
      </w:pPr>
      <w:r>
        <w:t xml:space="preserve">4.8 Спектральное представление линейного кода</w:t>
      </w:r>
    </w:p>
    <w:p>
      <w:pPr>
        <w:pStyle w:val="FirstParagraph"/>
      </w:pPr>
      <w:r>
        <w:t xml:space="preserve">Построен амплитудный спектр биполярного RZ. По распределению линий можно оценить занимаемую полосу и наличие низкочастотной составляющей; график получен из той же битовой последовательности, что и временная диаграмма.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09-008"/>
          <w:p>
            <w:pPr>
              <w:pStyle w:val="Compact"/>
              <w:jc w:val="center"/>
            </w:pPr>
            <w:r>
              <w:drawing>
                <wp:inline>
                  <wp:extent cx="5067300" cy="380261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image/008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67300" cy="380261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Спектральное представление линейного кода</w:t>
            </w:r>
          </w:p>
          <w:bookmarkEnd w:id="50"/>
        </w:tc>
      </w:tr>
    </w:tbl>
    <w:bookmarkEnd w:id="51"/>
    <w:bookmarkStart w:id="56" w:name="X9939e539172b63a22aa347193481566d3d59b7e"/>
    <w:p>
      <w:pPr>
        <w:pStyle w:val="Heading2"/>
      </w:pPr>
      <w:r>
        <w:t xml:space="preserve">4.9 Спектральное представление линейного кода</w:t>
      </w:r>
    </w:p>
    <w:p>
      <w:pPr>
        <w:pStyle w:val="FirstParagraph"/>
      </w:pPr>
      <w:r>
        <w:t xml:space="preserve">Построен амплитудный спектр дифференциального манчестерского кода. По распределению линий можно оценить занимаемую полосу и наличие низкочастотной составляющей; график получен из той же битовой последовательности, что и временная диаграмма.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5" w:name="fig-09-009"/>
          <w:p>
            <w:pPr>
              <w:pStyle w:val="Compact"/>
              <w:jc w:val="center"/>
            </w:pPr>
            <w:r>
              <w:drawing>
                <wp:inline>
                  <wp:extent cx="5067300" cy="3802611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image/009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67300" cy="380261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Спектральное представление линейного кода</w:t>
            </w:r>
          </w:p>
          <w:bookmarkEnd w:id="55"/>
        </w:tc>
      </w:tr>
    </w:tbl>
    <w:bookmarkEnd w:id="56"/>
    <w:bookmarkStart w:id="61" w:name="Xe8e8d4635348e26fd2117a531383d92e7bf3b31"/>
    <w:p>
      <w:pPr>
        <w:pStyle w:val="Heading2"/>
      </w:pPr>
      <w:r>
        <w:t xml:space="preserve">4.10 Спектральное представление линейного кода</w:t>
      </w:r>
    </w:p>
    <w:p>
      <w:pPr>
        <w:pStyle w:val="FirstParagraph"/>
      </w:pPr>
      <w:r>
        <w:t xml:space="preserve">Построен амплитудный спектр манчестерского кода. По распределению линий можно оценить занимаемую полосу и наличие низкочастотной составляющей; график получен из той же битовой последовательности, что и временная диаграмма.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09-010"/>
          <w:p>
            <w:pPr>
              <w:pStyle w:val="Compact"/>
              <w:jc w:val="center"/>
            </w:pPr>
            <w:r>
              <w:drawing>
                <wp:inline>
                  <wp:extent cx="5067300" cy="380261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image/010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67300" cy="380261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Спектральное представление линейного кода</w:t>
            </w:r>
          </w:p>
          <w:bookmarkEnd w:id="60"/>
        </w:tc>
      </w:tr>
    </w:tbl>
    <w:bookmarkEnd w:id="61"/>
    <w:bookmarkStart w:id="66" w:name="X843feab17146a5a52995f3450cd1c1f3a23a30e"/>
    <w:p>
      <w:pPr>
        <w:pStyle w:val="Heading2"/>
      </w:pPr>
      <w:r>
        <w:t xml:space="preserve">4.11 Спектральное представление линейного кода</w:t>
      </w:r>
    </w:p>
    <w:p>
      <w:pPr>
        <w:pStyle w:val="FirstParagraph"/>
      </w:pPr>
      <w:r>
        <w:t xml:space="preserve">Построен амплитудный спектр униполярного кода. По распределению линий можно оценить занимаемую полосу и наличие низкочастотной составляющей; график получен из той же битовой последовательности, что и временная диаграмма.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09-011"/>
          <w:p>
            <w:pPr>
              <w:pStyle w:val="Compact"/>
              <w:jc w:val="center"/>
            </w:pPr>
            <w:r>
              <w:drawing>
                <wp:inline>
                  <wp:extent cx="5067300" cy="3802611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image/011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67300" cy="380261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 Спектральное представление линейного кода</w:t>
            </w:r>
          </w:p>
          <w:bookmarkEnd w:id="65"/>
        </w:tc>
      </w:tr>
    </w:tbl>
    <w:bookmarkEnd w:id="66"/>
    <w:bookmarkStart w:id="71" w:name="проверка-самосинхронизации"/>
    <w:p>
      <w:pPr>
        <w:pStyle w:val="Heading2"/>
      </w:pPr>
      <w:r>
        <w:t xml:space="preserve">4.12 Проверка самосинхронизации</w:t>
      </w:r>
    </w:p>
    <w:p>
      <w:pPr>
        <w:pStyle w:val="FirstParagraph"/>
      </w:pPr>
      <w:r>
        <w:t xml:space="preserve">На увеличенном временном фрагменте проверяется самосинхронизация кода AMI. Переходы уровня внутри или на границах битовых интервалов показывают, насколько уверенно приёмник может восстановить тактовые моменты.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0" w:name="fig-09-012"/>
          <w:p>
            <w:pPr>
              <w:pStyle w:val="Compact"/>
              <w:jc w:val="center"/>
            </w:pPr>
            <w:r>
              <w:drawing>
                <wp:inline>
                  <wp:extent cx="5067300" cy="3802611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image/012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67300" cy="380261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12: Проверка самосинхронизации</w:t>
            </w:r>
          </w:p>
          <w:bookmarkEnd w:id="70"/>
        </w:tc>
      </w:tr>
    </w:tbl>
    <w:bookmarkEnd w:id="71"/>
    <w:bookmarkStart w:id="76" w:name="проверка-самосинхронизации-1"/>
    <w:p>
      <w:pPr>
        <w:pStyle w:val="Heading2"/>
      </w:pPr>
      <w:r>
        <w:t xml:space="preserve">4.13 Проверка самосинхронизации</w:t>
      </w:r>
    </w:p>
    <w:p>
      <w:pPr>
        <w:pStyle w:val="FirstParagraph"/>
      </w:pPr>
      <w:r>
        <w:t xml:space="preserve">На увеличенном временном фрагменте проверяется самосинхронизация биполярного NRZ. Переходы уровня внутри или на границах битовых интервалов показывают, насколько уверенно приёмник может восстановить тактовые моменты.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5" w:name="fig-09-013"/>
          <w:p>
            <w:pPr>
              <w:pStyle w:val="Compact"/>
              <w:jc w:val="center"/>
            </w:pPr>
            <w:r>
              <w:drawing>
                <wp:inline>
                  <wp:extent cx="5067300" cy="3802611"/>
                  <wp:effectExtent b="0" l="0" r="0" t="0"/>
                  <wp:docPr descr="" title="" id="73" name="Picture"/>
                  <a:graphic>
                    <a:graphicData uri="http://schemas.openxmlformats.org/drawingml/2006/picture">
                      <pic:pic>
                        <pic:nvPicPr>
                          <pic:cNvPr descr="image/013.png" id="7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67300" cy="380261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13: Проверка самосинхронизации</w:t>
            </w:r>
          </w:p>
          <w:bookmarkEnd w:id="75"/>
        </w:tc>
      </w:tr>
    </w:tbl>
    <w:bookmarkEnd w:id="76"/>
    <w:bookmarkStart w:id="81" w:name="проверка-самосинхронизации-2"/>
    <w:p>
      <w:pPr>
        <w:pStyle w:val="Heading2"/>
      </w:pPr>
      <w:r>
        <w:t xml:space="preserve">4.14 Проверка самосинхронизации</w:t>
      </w:r>
    </w:p>
    <w:p>
      <w:pPr>
        <w:pStyle w:val="FirstParagraph"/>
      </w:pPr>
      <w:r>
        <w:t xml:space="preserve">На увеличенном временном фрагменте проверяется самосинхронизация биполярного RZ. Переходы уровня внутри или на границах битовых интервалов показывают, насколько уверенно приёмник может восстановить тактовые моменты.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0" w:name="fig-09-014"/>
          <w:p>
            <w:pPr>
              <w:pStyle w:val="Compact"/>
              <w:jc w:val="center"/>
            </w:pPr>
            <w:r>
              <w:drawing>
                <wp:inline>
                  <wp:extent cx="5067300" cy="3802611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image/014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67300" cy="380261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14: Проверка самосинхронизации</w:t>
            </w:r>
          </w:p>
          <w:bookmarkEnd w:id="80"/>
        </w:tc>
      </w:tr>
    </w:tbl>
    <w:bookmarkEnd w:id="81"/>
    <w:bookmarkStart w:id="86" w:name="проверка-самосинхронизации-3"/>
    <w:p>
      <w:pPr>
        <w:pStyle w:val="Heading2"/>
      </w:pPr>
      <w:r>
        <w:t xml:space="preserve">4.15 Проверка самосинхронизации</w:t>
      </w:r>
    </w:p>
    <w:p>
      <w:pPr>
        <w:pStyle w:val="FirstParagraph"/>
      </w:pPr>
      <w:r>
        <w:t xml:space="preserve">На увеличенном временном фрагменте проверяется самосинхронизация дифференциального манчестерского кода. Переходы уровня внутри или на границах битовых интервалов показывают, насколько уверенно приёмник может восстановить тактовые моменты.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fig-09-015"/>
          <w:p>
            <w:pPr>
              <w:pStyle w:val="Compact"/>
              <w:jc w:val="center"/>
            </w:pPr>
            <w:r>
              <w:drawing>
                <wp:inline>
                  <wp:extent cx="5067300" cy="3802611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image/015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67300" cy="380261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15: Проверка самосинхронизации</w:t>
            </w:r>
          </w:p>
          <w:bookmarkEnd w:id="85"/>
        </w:tc>
      </w:tr>
    </w:tbl>
    <w:bookmarkEnd w:id="86"/>
    <w:bookmarkStart w:id="91" w:name="проверка-самосинхронизации-4"/>
    <w:p>
      <w:pPr>
        <w:pStyle w:val="Heading2"/>
      </w:pPr>
      <w:r>
        <w:t xml:space="preserve">4.16 Проверка самосинхронизации</w:t>
      </w:r>
    </w:p>
    <w:p>
      <w:pPr>
        <w:pStyle w:val="FirstParagraph"/>
      </w:pPr>
      <w:r>
        <w:t xml:space="preserve">На увеличенном временном фрагменте проверяется самосинхронизация манчестерского кода. Переходы уровня внутри или на границах битовых интервалов показывают, насколько уверенно приёмник может восстановить тактовые моменты.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0" w:name="fig-09-016"/>
          <w:p>
            <w:pPr>
              <w:pStyle w:val="Compact"/>
              <w:jc w:val="center"/>
            </w:pPr>
            <w:r>
              <w:drawing>
                <wp:inline>
                  <wp:extent cx="5067300" cy="3802611"/>
                  <wp:effectExtent b="0" l="0" r="0" t="0"/>
                  <wp:docPr descr="" title="" id="88" name="Picture"/>
                  <a:graphic>
                    <a:graphicData uri="http://schemas.openxmlformats.org/drawingml/2006/picture">
                      <pic:pic>
                        <pic:nvPicPr>
                          <pic:cNvPr descr="image/016.png" id="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67300" cy="380261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16: Проверка самосинхронизации</w:t>
            </w:r>
          </w:p>
          <w:bookmarkEnd w:id="90"/>
        </w:tc>
      </w:tr>
    </w:tbl>
    <w:bookmarkEnd w:id="91"/>
    <w:bookmarkStart w:id="96" w:name="проверка-самосинхронизации-5"/>
    <w:p>
      <w:pPr>
        <w:pStyle w:val="Heading2"/>
      </w:pPr>
      <w:r>
        <w:t xml:space="preserve">4.17 Проверка самосинхронизации</w:t>
      </w:r>
    </w:p>
    <w:p>
      <w:pPr>
        <w:pStyle w:val="FirstParagraph"/>
      </w:pPr>
      <w:r>
        <w:t xml:space="preserve">На увеличенном временном фрагменте проверяется самосинхронизация униполярного кода. Переходы уровня внутри или на границах битовых интервалов показывают, насколько уверенно приёмник может восстановить тактовые моменты.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5" w:name="fig-09-017"/>
          <w:p>
            <w:pPr>
              <w:pStyle w:val="Compact"/>
              <w:jc w:val="center"/>
            </w:pPr>
            <w:r>
              <w:drawing>
                <wp:inline>
                  <wp:extent cx="5067300" cy="3802611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image/017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67300" cy="380261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17: Проверка самосинхронизации</w:t>
            </w:r>
          </w:p>
          <w:bookmarkEnd w:id="95"/>
        </w:tc>
      </w:tr>
    </w:tbl>
    <w:bookmarkEnd w:id="96"/>
    <w:bookmarkStart w:id="101" w:name="график-сигнала-и-результат-расчёта-5"/>
    <w:p>
      <w:pPr>
        <w:pStyle w:val="Heading2"/>
      </w:pPr>
      <w:r>
        <w:t xml:space="preserve">4.18 График сигнала и результат расчёта</w:t>
      </w:r>
    </w:p>
    <w:p>
      <w:pPr>
        <w:pStyle w:val="FirstParagraph"/>
      </w:pPr>
      <w:r>
        <w:t xml:space="preserve">Временная диаграмма униполярного кода построена для заданной двоичной последовательности. По чередованию положительных, отрицательных и нулевых уровней можно проследить правило преобразования каждого бита.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0" w:name="fig-09-018"/>
          <w:p>
            <w:pPr>
              <w:pStyle w:val="Compact"/>
              <w:jc w:val="center"/>
            </w:pPr>
            <w:r>
              <w:drawing>
                <wp:inline>
                  <wp:extent cx="5067300" cy="3800475"/>
                  <wp:effectExtent b="0" l="0" r="0" t="0"/>
                  <wp:docPr descr="" title="" id="98" name="Picture"/>
                  <a:graphic>
                    <a:graphicData uri="http://schemas.openxmlformats.org/drawingml/2006/picture">
                      <pic:pic>
                        <pic:nvPicPr>
                          <pic:cNvPr descr="image/018.png" id="9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67300" cy="38004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18: График сигнала и результат расчёта</w:t>
            </w:r>
          </w:p>
          <w:bookmarkEnd w:id="100"/>
        </w:tc>
      </w:tr>
    </w:tbl>
    <w:bookmarkEnd w:id="101"/>
    <w:bookmarkStart w:id="106" w:name="график-сигнала-и-результат-расчёта-6"/>
    <w:p>
      <w:pPr>
        <w:pStyle w:val="Heading2"/>
      </w:pPr>
      <w:r>
        <w:t xml:space="preserve">4.19 График сигнала и результат расчёта</w:t>
      </w:r>
    </w:p>
    <w:p>
      <w:pPr>
        <w:pStyle w:val="FirstParagraph"/>
      </w:pPr>
      <w:r>
        <w:t xml:space="preserve">На графике показаны дискретные отсчёты периодического сигнала y1. Маркеры подчёркивают моменты выборки, а соединяющая линия позволяет увидеть форму исходной последовательности перед спектральным разложением.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5" w:name="fig-09-019"/>
          <w:p>
            <w:pPr>
              <w:pStyle w:val="Compact"/>
              <w:jc w:val="center"/>
            </w:pPr>
            <w:r>
              <w:drawing>
                <wp:inline>
                  <wp:extent cx="5067300" cy="4764989"/>
                  <wp:effectExtent b="0" l="0" r="0" t="0"/>
                  <wp:docPr descr="" title="" id="103" name="Picture"/>
                  <a:graphic>
                    <a:graphicData uri="http://schemas.openxmlformats.org/drawingml/2006/picture">
                      <pic:pic>
                        <pic:nvPicPr>
                          <pic:cNvPr descr="image/019.png" id="10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67300" cy="476498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19: График сигнала и результат расчёта</w:t>
            </w:r>
          </w:p>
          <w:bookmarkEnd w:id="105"/>
        </w:tc>
      </w:tr>
    </w:tbl>
    <w:bookmarkEnd w:id="106"/>
    <w:bookmarkStart w:id="111" w:name="график-сигнала-и-результат-расчёта-7"/>
    <w:p>
      <w:pPr>
        <w:pStyle w:val="Heading2"/>
      </w:pPr>
      <w:r>
        <w:t xml:space="preserve">4.20 График сигнала и результат расчёта</w:t>
      </w:r>
    </w:p>
    <w:p>
      <w:pPr>
        <w:pStyle w:val="FirstParagraph"/>
      </w:pPr>
      <w:r>
        <w:t xml:space="preserve">На одной системе координат сопоставлены исходный сигнал y1 и вспомогательная гармоническая функция y2. Различие форм показывает, что единственная синусоида не воспроизводит резкие переходы исходной последовательности.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0" w:name="fig-09-020"/>
          <w:p>
            <w:pPr>
              <w:pStyle w:val="Compact"/>
              <w:jc w:val="center"/>
            </w:pPr>
            <w:r>
              <w:drawing>
                <wp:inline>
                  <wp:extent cx="5067300" cy="4892565"/>
                  <wp:effectExtent b="0" l="0" r="0" t="0"/>
                  <wp:docPr descr="" title="" id="108" name="Picture"/>
                  <a:graphic>
                    <a:graphicData uri="http://schemas.openxmlformats.org/drawingml/2006/picture">
                      <pic:pic>
                        <pic:nvPicPr>
                          <pic:cNvPr descr="image/020.png" id="10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67300" cy="489256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20: График сигнала и результат расчёта</w:t>
            </w:r>
          </w:p>
          <w:bookmarkEnd w:id="110"/>
        </w:tc>
      </w:tr>
    </w:tbl>
    <w:bookmarkEnd w:id="111"/>
    <w:bookmarkStart w:id="116" w:name="график-сигнала-и-результат-расчёта-8"/>
    <w:p>
      <w:pPr>
        <w:pStyle w:val="Heading2"/>
      </w:pPr>
      <w:r>
        <w:t xml:space="preserve">4.21 График сигнала и результат расчёта</w:t>
      </w:r>
    </w:p>
    <w:p>
      <w:pPr>
        <w:pStyle w:val="FirstParagraph"/>
      </w:pPr>
      <w:r>
        <w:t xml:space="preserve">В восьми окнах приведено последовательное приближение сигнала рядом Фурье при N от 1 до 8. С ростом числа гармоник фронты становятся круче, а форма приближается к прямоугольной.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5" w:name="fig-09-021"/>
          <w:p>
            <w:pPr>
              <w:pStyle w:val="Compact"/>
              <w:jc w:val="center"/>
            </w:pPr>
            <w:r>
              <w:drawing>
                <wp:inline>
                  <wp:extent cx="5067300" cy="4711450"/>
                  <wp:effectExtent b="0" l="0" r="0" t="0"/>
                  <wp:docPr descr="" title="" id="113" name="Picture"/>
                  <a:graphic>
                    <a:graphicData uri="http://schemas.openxmlformats.org/drawingml/2006/picture">
                      <pic:pic>
                        <pic:nvPicPr>
                          <pic:cNvPr descr="image/021.png" id="1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67300" cy="47114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21: График сигнала и результат расчёта</w:t>
            </w:r>
          </w:p>
          <w:bookmarkEnd w:id="115"/>
        </w:tc>
      </w:tr>
    </w:tbl>
    <w:bookmarkEnd w:id="116"/>
    <w:bookmarkStart w:id="121" w:name="график-сигнала-и-результат-расчёта-9"/>
    <w:p>
      <w:pPr>
        <w:pStyle w:val="Heading2"/>
      </w:pPr>
      <w:r>
        <w:t xml:space="preserve">4.22 График сигнала и результат расчёта</w:t>
      </w:r>
    </w:p>
    <w:p>
      <w:pPr>
        <w:pStyle w:val="FirstParagraph"/>
      </w:pPr>
      <w:r>
        <w:t xml:space="preserve">Повторный набор графиков N=1…8 построен для уточнённых коэффициентов ряда. На последних подграфиках хорошо видны плато и локальные колебания около разрывов.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09-022"/>
          <w:p>
            <w:pPr>
              <w:pStyle w:val="Compact"/>
              <w:jc w:val="center"/>
            </w:pPr>
            <w:r>
              <w:drawing>
                <wp:inline>
                  <wp:extent cx="5067300" cy="4841601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image/022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67300" cy="48416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22: График сигнала и результат расчёта</w:t>
            </w:r>
          </w:p>
          <w:bookmarkEnd w:id="120"/>
        </w:tc>
      </w:tr>
    </w:tbl>
    <w:bookmarkEnd w:id="121"/>
    <w:bookmarkStart w:id="126" w:name="график-сигнала-и-результат-расчёта-10"/>
    <w:p>
      <w:pPr>
        <w:pStyle w:val="Heading2"/>
      </w:pPr>
      <w:r>
        <w:t xml:space="preserve">4.23 График сигнала и результат расчёта</w:t>
      </w:r>
    </w:p>
    <w:p>
      <w:pPr>
        <w:pStyle w:val="FirstParagraph"/>
      </w:pPr>
      <w:r>
        <w:t xml:space="preserve">Сравниваются два дискретных спектра: синим показана основная последовательность, красным — изменённая. Максимумы расположены на разных частотах, поэтому различие сигналов видно не только во временной области.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5" w:name="fig-09-023"/>
          <w:p>
            <w:pPr>
              <w:pStyle w:val="Compact"/>
              <w:jc w:val="center"/>
            </w:pPr>
            <w:r>
              <w:drawing>
                <wp:inline>
                  <wp:extent cx="5067300" cy="5007331"/>
                  <wp:effectExtent b="0" l="0" r="0" t="0"/>
                  <wp:docPr descr="" title="" id="123" name="Picture"/>
                  <a:graphic>
                    <a:graphicData uri="http://schemas.openxmlformats.org/drawingml/2006/picture">
                      <pic:pic>
                        <pic:nvPicPr>
                          <pic:cNvPr descr="image/023.png" id="1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67300" cy="500733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23: График сигнала и результат расчёта</w:t>
            </w:r>
          </w:p>
          <w:bookmarkEnd w:id="125"/>
        </w:tc>
      </w:tr>
    </w:tbl>
    <w:bookmarkEnd w:id="126"/>
    <w:bookmarkStart w:id="131" w:name="график-сигнала-и-результат-расчёта-11"/>
    <w:p>
      <w:pPr>
        <w:pStyle w:val="Heading2"/>
      </w:pPr>
      <w:r>
        <w:t xml:space="preserve">4.24 График сигнала и результат расчёта</w:t>
      </w:r>
    </w:p>
    <w:p>
      <w:pPr>
        <w:pStyle w:val="FirstParagraph"/>
      </w:pPr>
      <w:r>
        <w:t xml:space="preserve">Увеличенный фрагмент спектра показывает доминирующий синий максимум около 80 Гц и значительно меньшие красные составляющие. Масштаб выбран так, чтобы сравнить относительные амплитуды линий.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fig-09-024"/>
          <w:p>
            <w:pPr>
              <w:pStyle w:val="Compact"/>
              <w:jc w:val="center"/>
            </w:pPr>
            <w:r>
              <w:drawing>
                <wp:inline>
                  <wp:extent cx="5067300" cy="4761514"/>
                  <wp:effectExtent b="0" l="0" r="0" t="0"/>
                  <wp:docPr descr="" title="" id="128" name="Picture"/>
                  <a:graphic>
                    <a:graphicData uri="http://schemas.openxmlformats.org/drawingml/2006/picture">
                      <pic:pic>
                        <pic:nvPicPr>
                          <pic:cNvPr descr="image/024.png" id="1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67300" cy="476151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24: График сигнала и результат расчёта</w:t>
            </w:r>
          </w:p>
          <w:bookmarkEnd w:id="130"/>
        </w:tc>
      </w:tr>
    </w:tbl>
    <w:bookmarkEnd w:id="131"/>
    <w:bookmarkStart w:id="136" w:name="график-сигнала-и-результат-расчёта-12"/>
    <w:p>
      <w:pPr>
        <w:pStyle w:val="Heading2"/>
      </w:pPr>
      <w:r>
        <w:t xml:space="preserve">4.25 График сигнала и результат расчёта</w:t>
      </w:r>
    </w:p>
    <w:p>
      <w:pPr>
        <w:pStyle w:val="FirstParagraph"/>
      </w:pPr>
      <w:r>
        <w:t xml:space="preserve">Спектр периодического сигнала содержит выраженные пики около 10 и 40 Гц и затухающие боковые лепестки. Положение максимумов соответствует частотам основных составляющих исходной формы.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5" w:name="fig-09-025"/>
          <w:p>
            <w:pPr>
              <w:pStyle w:val="Compact"/>
              <w:jc w:val="center"/>
            </w:pPr>
            <w:r>
              <w:drawing>
                <wp:inline>
                  <wp:extent cx="5067300" cy="4821875"/>
                  <wp:effectExtent b="0" l="0" r="0" t="0"/>
                  <wp:docPr descr="" title="" id="133" name="Picture"/>
                  <a:graphic>
                    <a:graphicData uri="http://schemas.openxmlformats.org/drawingml/2006/picture">
                      <pic:pic>
                        <pic:nvPicPr>
                          <pic:cNvPr descr="image/025.png" id="1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67300" cy="48218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25: График сигнала и результат расчёта</w:t>
            </w:r>
          </w:p>
          <w:bookmarkEnd w:id="135"/>
        </w:tc>
      </w:tr>
    </w:tbl>
    <w:bookmarkEnd w:id="136"/>
    <w:bookmarkStart w:id="141" w:name="график-сигнала-и-результат-расчёта-13"/>
    <w:p>
      <w:pPr>
        <w:pStyle w:val="Heading2"/>
      </w:pPr>
      <w:r>
        <w:t xml:space="preserve">4.26 График сигнала и результат расчёта</w:t>
      </w:r>
    </w:p>
    <w:p>
      <w:pPr>
        <w:pStyle w:val="FirstParagraph"/>
      </w:pPr>
      <w:r>
        <w:t xml:space="preserve">Во временной области построена сумма нескольких гармоник. Повторяющийся сложный рисунок возникает из-за наложения компонент с различными частотами и амплитудами.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0" w:name="fig-09-026"/>
          <w:p>
            <w:pPr>
              <w:pStyle w:val="Compact"/>
              <w:jc w:val="center"/>
            </w:pPr>
            <w:r>
              <w:drawing>
                <wp:inline>
                  <wp:extent cx="5067300" cy="4003320"/>
                  <wp:effectExtent b="0" l="0" r="0" t="0"/>
                  <wp:docPr descr="" title="" id="138" name="Picture"/>
                  <a:graphic>
                    <a:graphicData uri="http://schemas.openxmlformats.org/drawingml/2006/picture">
                      <pic:pic>
                        <pic:nvPicPr>
                          <pic:cNvPr descr="image/026.png" id="1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67300" cy="40033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26: График сигнала и результат расчёта</w:t>
            </w:r>
          </w:p>
          <w:bookmarkEnd w:id="140"/>
        </w:tc>
      </w:tr>
    </w:tbl>
    <w:bookmarkEnd w:id="141"/>
    <w:bookmarkStart w:id="146" w:name="график-сигнала-и-результат-расчёта-14"/>
    <w:p>
      <w:pPr>
        <w:pStyle w:val="Heading2"/>
      </w:pPr>
      <w:r>
        <w:t xml:space="preserve">4.27 График сигнала и результат расчёта</w:t>
      </w:r>
    </w:p>
    <w:p>
      <w:pPr>
        <w:pStyle w:val="FirstParagraph"/>
      </w:pPr>
      <w:r>
        <w:t xml:space="preserve">Красная низкочастотная огибающая наложена на фиолетовое высокочастотное колебание. Изменение амплитуды несущей повторяет форму информационного сигнала, что соответствует амплитудной модуляции.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5" w:name="fig-09-027"/>
          <w:p>
            <w:pPr>
              <w:pStyle w:val="Compact"/>
              <w:jc w:val="center"/>
            </w:pPr>
            <w:r>
              <w:drawing>
                <wp:inline>
                  <wp:extent cx="5067300" cy="4036662"/>
                  <wp:effectExtent b="0" l="0" r="0" t="0"/>
                  <wp:docPr descr="" title="" id="143" name="Picture"/>
                  <a:graphic>
                    <a:graphicData uri="http://schemas.openxmlformats.org/drawingml/2006/picture">
                      <pic:pic>
                        <pic:nvPicPr>
                          <pic:cNvPr descr="image/027.png" id="1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67300" cy="403666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27: График сигнала и результат расчёта</w:t>
            </w:r>
          </w:p>
          <w:bookmarkEnd w:id="145"/>
        </w:tc>
      </w:tr>
    </w:tbl>
    <w:bookmarkEnd w:id="146"/>
    <w:bookmarkStart w:id="151" w:name="график-сигнала-и-результат-расчёта-15"/>
    <w:p>
      <w:pPr>
        <w:pStyle w:val="Heading2"/>
      </w:pPr>
      <w:r>
        <w:t xml:space="preserve">4.28 График сигнала и результат расчёта</w:t>
      </w:r>
    </w:p>
    <w:p>
      <w:pPr>
        <w:pStyle w:val="FirstParagraph"/>
      </w:pPr>
      <w:r>
        <w:t xml:space="preserve">В спектре амплитудно-модулированного сигнала видны две основные боковые составляющие вокруг частоты несущей. Симметрия пиков отражает суммарную и разностную частоты модуляции.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0" w:name="fig-09-028"/>
          <w:p>
            <w:pPr>
              <w:pStyle w:val="Compact"/>
              <w:jc w:val="center"/>
            </w:pPr>
            <w:r>
              <w:drawing>
                <wp:inline>
                  <wp:extent cx="5067300" cy="3831575"/>
                  <wp:effectExtent b="0" l="0" r="0" t="0"/>
                  <wp:docPr descr="" title="" id="148" name="Picture"/>
                  <a:graphic>
                    <a:graphicData uri="http://schemas.openxmlformats.org/drawingml/2006/picture">
                      <pic:pic>
                        <pic:nvPicPr>
                          <pic:cNvPr descr="image/028.png" id="1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67300" cy="38315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28: График сигнала и результат расчёта</w:t>
            </w:r>
          </w:p>
          <w:bookmarkEnd w:id="150"/>
        </w:tc>
      </w:tr>
    </w:tbl>
    <w:bookmarkEnd w:id="151"/>
    <w:bookmarkEnd w:id="152"/>
    <w:bookmarkStart w:id="153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Цель работы достигнута. Исследовать спектр, линейное кодирование, амплитудную модуляцию и самосинхронизацию в Octave Полученные результаты подтверждают работоспособность собранной схемы и корректность выполненной настройки.</w:t>
      </w:r>
    </w:p>
    <w:bookmarkEnd w:id="1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17" Target="media/rId17.png" /><Relationship Type="http://schemas.openxmlformats.org/officeDocument/2006/relationships/image" Id="rId22" Target="media/rId22.png" /><Relationship Type="http://schemas.openxmlformats.org/officeDocument/2006/relationships/image" Id="rId27" Target="media/rId27.png" /><Relationship Type="http://schemas.openxmlformats.org/officeDocument/2006/relationships/image" Id="rId32" Target="media/rId32.png" /><Relationship Type="http://schemas.openxmlformats.org/officeDocument/2006/relationships/image" Id="rId37" Target="media/rId37.png" /><Relationship Type="http://schemas.openxmlformats.org/officeDocument/2006/relationships/image" Id="rId42" Target="media/rId42.png" /><Relationship Type="http://schemas.openxmlformats.org/officeDocument/2006/relationships/image" Id="rId47" Target="media/rId47.png" /><Relationship Type="http://schemas.openxmlformats.org/officeDocument/2006/relationships/image" Id="rId52" Target="media/rId52.png" /><Relationship Type="http://schemas.openxmlformats.org/officeDocument/2006/relationships/image" Id="rId57" Target="media/rId57.png" /><Relationship Type="http://schemas.openxmlformats.org/officeDocument/2006/relationships/image" Id="rId62" Target="media/rId62.png" /><Relationship Type="http://schemas.openxmlformats.org/officeDocument/2006/relationships/image" Id="rId67" Target="media/rId67.png" /><Relationship Type="http://schemas.openxmlformats.org/officeDocument/2006/relationships/image" Id="rId72" Target="media/rId72.png" /><Relationship Type="http://schemas.openxmlformats.org/officeDocument/2006/relationships/image" Id="rId77" Target="media/rId77.png" /><Relationship Type="http://schemas.openxmlformats.org/officeDocument/2006/relationships/image" Id="rId82" Target="media/rId82.png" /><Relationship Type="http://schemas.openxmlformats.org/officeDocument/2006/relationships/image" Id="rId87" Target="media/rId87.png" /><Relationship Type="http://schemas.openxmlformats.org/officeDocument/2006/relationships/image" Id="rId92" Target="media/rId92.png" /><Relationship Type="http://schemas.openxmlformats.org/officeDocument/2006/relationships/image" Id="rId97" Target="media/rId97.png" /><Relationship Type="http://schemas.openxmlformats.org/officeDocument/2006/relationships/image" Id="rId102" Target="media/rId102.png" /><Relationship Type="http://schemas.openxmlformats.org/officeDocument/2006/relationships/image" Id="rId107" Target="media/rId107.png" /><Relationship Type="http://schemas.openxmlformats.org/officeDocument/2006/relationships/image" Id="rId112" Target="media/rId112.png" /><Relationship Type="http://schemas.openxmlformats.org/officeDocument/2006/relationships/image" Id="rId117" Target="media/rId117.png" /><Relationship Type="http://schemas.openxmlformats.org/officeDocument/2006/relationships/image" Id="rId122" Target="media/rId122.png" /><Relationship Type="http://schemas.openxmlformats.org/officeDocument/2006/relationships/image" Id="rId127" Target="media/rId127.png" /><Relationship Type="http://schemas.openxmlformats.org/officeDocument/2006/relationships/image" Id="rId132" Target="media/rId132.png" /><Relationship Type="http://schemas.openxmlformats.org/officeDocument/2006/relationships/image" Id="rId137" Target="media/rId137.png" /><Relationship Type="http://schemas.openxmlformats.org/officeDocument/2006/relationships/image" Id="rId142" Target="media/rId142.png" /><Relationship Type="http://schemas.openxmlformats.org/officeDocument/2006/relationships/image" Id="rId147" Target="media/rId14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 9</dc:title>
  <dc:creator>Баранов Никита Дмитриевич</dc:creator>
  <dc:language>ru-RU</dc:language>
  <cp:keywords/>
  <dcterms:created xsi:type="dcterms:W3CDTF">2026-09-14T11:31:54Z</dcterms:created>
  <dcterms:modified xsi:type="dcterms:W3CDTF">2026-09-14T11:31:54Z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date">
    <vt:lpwstr>2026-09-14</vt:lpwstr>
  </property>
  <property fmtid="{D5CDD505-2E9C-101B-9397-08002B2CF9AE}" pid="11" name="date-format">
    <vt:lpwstr>YYYY-MM-DD</vt:lpwstr>
  </property>
  <property fmtid="{D5CDD505-2E9C-101B-9397-08002B2CF9AE}" pid="12" name="header-includes">
    <vt:lpwstr/>
  </property>
  <property fmtid="{D5CDD505-2E9C-101B-9397-08002B2CF9AE}" pid="13" name="include-after">
    <vt:lpwstr/>
  </property>
  <property fmtid="{D5CDD505-2E9C-101B-9397-08002B2CF9AE}" pid="14" name="include-before">
    <vt:lpwstr/>
  </property>
  <property fmtid="{D5CDD505-2E9C-101B-9397-08002B2CF9AE}" pid="15" name="labels">
    <vt:lpwstr/>
  </property>
  <property fmtid="{D5CDD505-2E9C-101B-9397-08002B2CF9AE}" pid="16" name="license">
    <vt:lpwstr/>
  </property>
  <property fmtid="{D5CDD505-2E9C-101B-9397-08002B2CF9AE}" pid="17" name="subtitle">
    <vt:lpwstr>Методы кодирования и модуляция сигналов</vt:lpwstr>
  </property>
  <property fmtid="{D5CDD505-2E9C-101B-9397-08002B2CF9AE}" pid="18" name="toc-title">
    <vt:lpwstr>Содержание</vt:lpwstr>
  </property>
</Properties>
</file>