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10</w:t>
      </w:r>
    </w:p>
    <w:p>
      <w:pPr>
        <w:pStyle w:val="Subtitle"/>
      </w:pPr>
      <w:r>
        <w:t xml:space="preserve">Расчёт сети Fast Ethernet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Оценить работоспособность 100-мегабитной Fast Ethernet по первой и второй моделям.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Первая модель ограничивает суммарный двойной оборот PDV значением 512 битовых интервалов.</w:t>
      </w:r>
    </w:p>
    <w:p>
      <w:pPr>
        <w:pStyle w:val="Compact"/>
        <w:numPr>
          <w:ilvl w:val="0"/>
          <w:numId w:val="1001"/>
        </w:numPr>
      </w:pPr>
      <w:r>
        <w:t xml:space="preserve">Для 100BASE-TX вклад кабеля равен 1,112 битового интервала на метр двойного пути; к нему добавляются задержки двух DTE и повторителей.</w:t>
      </w:r>
    </w:p>
    <w:p>
      <w:pPr>
        <w:pStyle w:val="Compact"/>
        <w:numPr>
          <w:ilvl w:val="0"/>
          <w:numId w:val="1001"/>
        </w:numPr>
      </w:pPr>
      <w:r>
        <w:t xml:space="preserve">Вторая модель проверяет сокращение межкадрового интервала PVV; допустимое значение — не более 49 битовых интервалов.</w:t>
      </w:r>
    </w:p>
    <w:p>
      <w:pPr>
        <w:pStyle w:val="Compact"/>
        <w:numPr>
          <w:ilvl w:val="0"/>
          <w:numId w:val="1001"/>
        </w:numPr>
      </w:pPr>
      <w:r>
        <w:t xml:space="preserve">Для каждой конфигурации выбран наиболее длинный путь, после чего рассчитаны PDV и PVV.</w:t>
      </w:r>
    </w:p>
    <w:p>
      <w:pPr>
        <w:pStyle w:val="Compact"/>
        <w:numPr>
          <w:ilvl w:val="0"/>
          <w:numId w:val="1001"/>
        </w:numPr>
      </w:pPr>
      <w:r>
        <w:t xml:space="preserve">Расчёт показывает, что конфигурация считается работоспособной только при одновременном выполнении обоих ограничений.</w:t>
      </w:r>
    </w:p>
    <w:p>
      <w:pPr>
        <w:pStyle w:val="Compact"/>
        <w:numPr>
          <w:ilvl w:val="0"/>
          <w:numId w:val="1001"/>
        </w:numPr>
      </w:pPr>
      <w:r>
        <w:t xml:space="preserve">В отчёте приведён алгоритм расчёта для повторения с любым вариантом длин сегментов.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Планирование адресации начинается с требуемого числа узлов. VLSM разбивает исходный блок на подсети разного размера и сокращает потери адресного пространства.</w:t>
      </w:r>
    </w:p>
    <w:bookmarkEnd w:id="11"/>
    <w:bookmarkStart w:id="18" w:name="выполнение-работы"/>
    <w:p>
      <w:pPr>
        <w:pStyle w:val="Heading1"/>
      </w:pPr>
      <w:r>
        <w:t xml:space="preserve">4. Выполнение работы</w:t>
      </w:r>
    </w:p>
    <w:bookmarkStart w:id="12" w:name="этап-1"/>
    <w:p>
      <w:pPr>
        <w:pStyle w:val="Heading2"/>
      </w:pPr>
      <w:r>
        <w:t xml:space="preserve">4.1 Этап 1</w:t>
      </w:r>
    </w:p>
    <w:p>
      <w:pPr>
        <w:pStyle w:val="FirstParagraph"/>
      </w:pPr>
      <w:r>
        <w:t xml:space="preserve">Первая модель ограничивает суммарный двойной оборот PDV значением 512 битовых интервалов.</w:t>
      </w:r>
    </w:p>
    <w:bookmarkEnd w:id="12"/>
    <w:bookmarkStart w:id="13" w:name="этап-2"/>
    <w:p>
      <w:pPr>
        <w:pStyle w:val="Heading2"/>
      </w:pPr>
      <w:r>
        <w:t xml:space="preserve">4.2 Этап 2</w:t>
      </w:r>
    </w:p>
    <w:p>
      <w:pPr>
        <w:pStyle w:val="FirstParagraph"/>
      </w:pPr>
      <w:r>
        <w:t xml:space="preserve">Для 100BASE-TX вклад кабеля равен 1,112 битового интервала на метр двойного пути; к нему добавляются задержки двух DTE и повторителей.</w:t>
      </w:r>
    </w:p>
    <w:bookmarkEnd w:id="13"/>
    <w:bookmarkStart w:id="14" w:name="этап-3"/>
    <w:p>
      <w:pPr>
        <w:pStyle w:val="Heading2"/>
      </w:pPr>
      <w:r>
        <w:t xml:space="preserve">4.3 Этап 3</w:t>
      </w:r>
    </w:p>
    <w:p>
      <w:pPr>
        <w:pStyle w:val="FirstParagraph"/>
      </w:pPr>
      <w:r>
        <w:t xml:space="preserve">Вторая модель проверяет сокращение межкадрового интервала PVV; допустимое значение — не более 49 битовых интервалов.</w:t>
      </w:r>
    </w:p>
    <w:bookmarkEnd w:id="14"/>
    <w:bookmarkStart w:id="15" w:name="этап-4"/>
    <w:p>
      <w:pPr>
        <w:pStyle w:val="Heading2"/>
      </w:pPr>
      <w:r>
        <w:t xml:space="preserve">4.4 Этап 4</w:t>
      </w:r>
    </w:p>
    <w:p>
      <w:pPr>
        <w:pStyle w:val="FirstParagraph"/>
      </w:pPr>
      <w:r>
        <w:t xml:space="preserve">Для каждой конфигурации выбран наиболее длинный путь, после чего рассчитаны PDV и PVV.</w:t>
      </w:r>
    </w:p>
    <w:bookmarkEnd w:id="15"/>
    <w:bookmarkStart w:id="16" w:name="этап-5"/>
    <w:p>
      <w:pPr>
        <w:pStyle w:val="Heading2"/>
      </w:pPr>
      <w:r>
        <w:t xml:space="preserve">4.5 Этап 5</w:t>
      </w:r>
    </w:p>
    <w:p>
      <w:pPr>
        <w:pStyle w:val="FirstParagraph"/>
      </w:pPr>
      <w:r>
        <w:t xml:space="preserve">Расчёт показывает, что конфигурация считается работоспособной только при одновременном выполнении обоих ограничений.</w:t>
      </w:r>
    </w:p>
    <w:bookmarkEnd w:id="16"/>
    <w:bookmarkStart w:id="17" w:name="этап-6"/>
    <w:p>
      <w:pPr>
        <w:pStyle w:val="Heading2"/>
      </w:pPr>
      <w:r>
        <w:t xml:space="preserve">4.6 Этап 6</w:t>
      </w:r>
    </w:p>
    <w:p>
      <w:pPr>
        <w:pStyle w:val="FirstParagraph"/>
      </w:pPr>
      <w:r>
        <w:t xml:space="preserve">В отчёте приведён алгоритм расчёта для повторения с любым вариантом длин сегментов.</w:t>
      </w:r>
    </w:p>
    <w:p>
      <w:pPr>
        <w:pStyle w:val="BodyText"/>
      </w:pPr>
      <w:r>
        <w:t xml:space="preserve">Работа носила подготовительный или расчётный характер, поэтому ход её выполнения зафиксирован в виде последовательного описания.</w:t>
      </w:r>
    </w:p>
    <w:bookmarkEnd w:id="17"/>
    <w:bookmarkEnd w:id="18"/>
    <w:bookmarkStart w:id="1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Цель работы достигнута. Оценить работоспособность 100-мегабитной Fast Ethernet по первой и второй моделям Полученные результаты подтверждают работоспособность собранной схемы и корректность выполненной настройки.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10</dc:title>
  <dc:creator>Баранов Никита Дмитриевич</dc:creator>
  <dc:language>ru-RU</dc:language>
  <cp:keywords/>
  <dcterms:created xsi:type="dcterms:W3CDTF">2026-09-14T13:17:15Z</dcterms:created>
  <dcterms:modified xsi:type="dcterms:W3CDTF">2026-09-14T13:17:15Z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Расчёт сети Fast Ethernet</vt:lpwstr>
  </property>
  <property fmtid="{D5CDD505-2E9C-101B-9397-08002B2CF9AE}" pid="18" name="toc-title">
    <vt:lpwstr>Содержание</vt:lpwstr>
  </property>
</Properties>
</file>