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Subtitle"/>
      </w:pPr>
      <w:r>
        <w:t xml:space="preserve">Моделирование канального уровня и анализ трафика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простые модели сети на базе коммутатора и маршрутизатора и исследовать Ethernet, ARP и ICMP в Wireshark.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Создана топология из двух VPCS и Ethernet-коммутатора.</w:t>
      </w:r>
    </w:p>
    <w:p>
      <w:pPr>
        <w:pStyle w:val="Compact"/>
        <w:numPr>
          <w:ilvl w:val="0"/>
          <w:numId w:val="1001"/>
        </w:numPr>
      </w:pPr>
      <w:r>
        <w:t xml:space="preserve">Узлам назначены адреса 192.168.1.11/24 и 192.168.1.12/24.</w:t>
      </w:r>
    </w:p>
    <w:p>
      <w:pPr>
        <w:pStyle w:val="Compact"/>
        <w:numPr>
          <w:ilvl w:val="0"/>
          <w:numId w:val="1001"/>
        </w:numPr>
      </w:pPr>
      <w:r>
        <w:t xml:space="preserve">Командой ping проверен обмен между конечными узлами.</w:t>
      </w:r>
    </w:p>
    <w:p>
      <w:pPr>
        <w:pStyle w:val="Compact"/>
        <w:numPr>
          <w:ilvl w:val="0"/>
          <w:numId w:val="1001"/>
        </w:numPr>
      </w:pPr>
      <w:r>
        <w:t xml:space="preserve">Захват Wireshark показал ARP-запрос и ARP-ответ, после которых передаются ICMP Echo.</w:t>
      </w:r>
    </w:p>
    <w:p>
      <w:pPr>
        <w:pStyle w:val="Compact"/>
        <w:numPr>
          <w:ilvl w:val="0"/>
          <w:numId w:val="1001"/>
        </w:numPr>
      </w:pPr>
      <w:r>
        <w:t xml:space="preserve">В топологию добавлен маршрутизатор, его интерфейсу назначен адрес 192.168.1.1/24.</w:t>
      </w:r>
    </w:p>
    <w:p>
      <w:pPr>
        <w:pStyle w:val="Compact"/>
        <w:numPr>
          <w:ilvl w:val="0"/>
          <w:numId w:val="1001"/>
        </w:numPr>
      </w:pPr>
      <w:r>
        <w:t xml:space="preserve">Маршрутизация и адреса шлюзов проверены ping; кадры рассмотрены по уровням Ethernet и IP.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IPv4-адрес состоит из сетевой и узловой частей. Длина префикса определяет маску и число доступных адресов в подсети.</w:t>
      </w:r>
    </w:p>
    <w:bookmarkEnd w:id="11"/>
    <w:bookmarkStart w:id="122" w:name="выполнение-работы"/>
    <w:p>
      <w:pPr>
        <w:pStyle w:val="Heading1"/>
      </w:pPr>
      <w:r>
        <w:t xml:space="preserve">4. Выполнение работы</w:t>
      </w:r>
    </w:p>
    <w:bookmarkStart w:id="16" w:name="X9e1b318480dc3d21493802b02f7460334153907"/>
    <w:p>
      <w:pPr>
        <w:pStyle w:val="Heading2"/>
      </w:pPr>
      <w:r>
        <w:t xml:space="preserve">4.1 В GNS3 собрана минимальная локальная сеть: два узла VPCS подключены к одному Ethernet-коммутатору</w:t>
      </w:r>
    </w:p>
    <w:p>
      <w:pPr>
        <w:pStyle w:val="FirstParagraph"/>
      </w:pPr>
      <w:r>
        <w:t xml:space="preserve">В GNS3 собрана минимальная локальная сеть: два узла VPCS подключены к одному Ethernet-коммутатору. Такая схема позволяет наблюдать обмен кадрами внутри одного широковещательного домена без участия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2-001"/>
          <w:p>
            <w:pPr>
              <w:pStyle w:val="Compact"/>
              <w:jc w:val="center"/>
            </w:pPr>
            <w:r>
              <w:drawing>
                <wp:inline>
                  <wp:extent cx="4302492" cy="297420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492" cy="2974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 GNS3 собрана минимальная локальная сеть: два узла VPCS подключены к одному Ethernet-коммутатору</w:t>
            </w:r>
          </w:p>
          <w:bookmarkEnd w:id="15"/>
        </w:tc>
      </w:tr>
    </w:tbl>
    <w:bookmarkEnd w:id="16"/>
    <w:bookmarkStart w:id="21" w:name="на-pc1-командой-ip-задан-адрес-192"/>
    <w:p>
      <w:pPr>
        <w:pStyle w:val="Heading2"/>
      </w:pPr>
      <w:r>
        <w:t xml:space="preserve">4.2 На PC1 командой ip задан адрес 192</w:t>
      </w:r>
    </w:p>
    <w:p>
      <w:pPr>
        <w:pStyle w:val="FirstParagraph"/>
      </w:pPr>
      <w:r>
        <w:t xml:space="preserve">На PC1 командой ip задан адрес 192.168.1.11/24 и шлюз 192.168.1.1, затем show ip вывел сохранённые параметры. Маска /24 помещает оба конечных узла в сеть 192.168.1.0.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2-002"/>
          <w:p>
            <w:pPr>
              <w:pStyle w:val="Compact"/>
              <w:jc w:val="center"/>
            </w:pPr>
            <w:r>
              <w:drawing>
                <wp:inline>
                  <wp:extent cx="5067300" cy="467083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670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 PC1 командой ip задан адрес 192</w:t>
            </w:r>
          </w:p>
          <w:bookmarkEnd w:id="20"/>
        </w:tc>
      </w:tr>
    </w:tbl>
    <w:bookmarkEnd w:id="21"/>
    <w:bookmarkStart w:id="26" w:name="в-консоли-pc2-установлен-адрес-192"/>
    <w:p>
      <w:pPr>
        <w:pStyle w:val="Heading2"/>
      </w:pPr>
      <w:r>
        <w:t xml:space="preserve">4.3 В консоли PC2 установлен адрес 192</w:t>
      </w:r>
    </w:p>
    <w:p>
      <w:pPr>
        <w:pStyle w:val="FirstParagraph"/>
      </w:pPr>
      <w:r>
        <w:t xml:space="preserve">В консоли PC2 установлен адрес 192.168.1.12/24 с тем же шлюзом. Контрольный вывод показывает другой MAC-адрес этого VPCS, что позволяет различать кадры двух компьютеров в Wireshark.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2-003"/>
          <w:p>
            <w:pPr>
              <w:pStyle w:val="Compact"/>
              <w:jc w:val="center"/>
            </w:pPr>
            <w:r>
              <w:drawing>
                <wp:inline>
                  <wp:extent cx="5067300" cy="364590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645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 консоли PC2 установлен адрес 192</w:t>
            </w:r>
          </w:p>
          <w:bookmarkEnd w:id="25"/>
        </w:tc>
      </w:tr>
    </w:tbl>
    <w:bookmarkEnd w:id="26"/>
    <w:bookmarkStart w:id="31" w:name="X3b39ad14a20e764e31b290e307afbadca72a45b"/>
    <w:p>
      <w:pPr>
        <w:pStyle w:val="Heading2"/>
      </w:pPr>
      <w:r>
        <w:t xml:space="preserve">4.4 С PC1 отправлены ICMP Echo-запросы на 192</w:t>
      </w:r>
    </w:p>
    <w:p>
      <w:pPr>
        <w:pStyle w:val="FirstParagraph"/>
      </w:pPr>
      <w:r>
        <w:t xml:space="preserve">С PC1 отправлены ICMP Echo-запросы на 192.168.1.12. Получены пять ответов с TTL 64 и малым временем задержки, следовательно адресация и коммутация внутри сегмента работают.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2-004"/>
          <w:p>
            <w:pPr>
              <w:pStyle w:val="Compact"/>
              <w:jc w:val="center"/>
            </w:pPr>
            <w:r>
              <w:drawing>
                <wp:inline>
                  <wp:extent cx="5067300" cy="86037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860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 PC1 отправлены ICMP Echo-запросы на 192</w:t>
            </w:r>
          </w:p>
          <w:bookmarkEnd w:id="30"/>
        </w:tc>
      </w:tr>
    </w:tbl>
    <w:bookmarkEnd w:id="31"/>
    <w:bookmarkStart w:id="36" w:name="X1f18d7008d80be577a93a48781d2c87f922189c"/>
    <w:p>
      <w:pPr>
        <w:pStyle w:val="Heading2"/>
      </w:pPr>
      <w:r>
        <w:t xml:space="preserve">4.5 На линии между PC1 и коммутатором включён захват пакетов</w:t>
      </w:r>
    </w:p>
    <w:p>
      <w:pPr>
        <w:pStyle w:val="FirstParagraph"/>
      </w:pPr>
      <w:r>
        <w:t xml:space="preserve">На линии между PC1 и коммутатором включён захват пакетов. Схема остаётся активной, а выбранная точка наблюдения позволяет видеть как служебный ARP, так и последующий ICMP-трафик этого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2-005"/>
          <w:p>
            <w:pPr>
              <w:pStyle w:val="Compact"/>
              <w:jc w:val="center"/>
            </w:pPr>
            <w:r>
              <w:drawing>
                <wp:inline>
                  <wp:extent cx="5067300" cy="247222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472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 линии между PC1 и коммутатором включён захват пакетов</w:t>
            </w:r>
          </w:p>
          <w:bookmarkEnd w:id="35"/>
        </w:tc>
      </w:tr>
    </w:tbl>
    <w:bookmarkEnd w:id="36"/>
    <w:bookmarkStart w:id="41" w:name="Xc4647433351c6920423d0cf553655720fd4edb6"/>
    <w:p>
      <w:pPr>
        <w:pStyle w:val="Heading2"/>
      </w:pPr>
      <w:r>
        <w:t xml:space="preserve">4.6 В списке Wireshark видны широковещательные ARP-запросы о владельце 192</w:t>
      </w:r>
    </w:p>
    <w:p>
      <w:pPr>
        <w:pStyle w:val="FirstParagraph"/>
      </w:pPr>
      <w:r>
        <w:t xml:space="preserve">В списке Wireshark видны широковещательные ARP-запросы о владельце 192.168.1.11. Кадры направлены на ff:ff:ff:ff:ff:ff, поскольку MAC-адрес получателя до ответа ещё неизвестен.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2-006"/>
          <w:p>
            <w:pPr>
              <w:pStyle w:val="Compact"/>
              <w:jc w:val="center"/>
            </w:pPr>
            <w:r>
              <w:drawing>
                <wp:inline>
                  <wp:extent cx="5067300" cy="182232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822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 списке Wireshark видны широковещательные ARP-запросы о владельце 192</w:t>
            </w:r>
          </w:p>
          <w:bookmarkEnd w:id="40"/>
        </w:tc>
      </w:tr>
    </w:tbl>
    <w:bookmarkEnd w:id="41"/>
    <w:bookmarkStart w:id="46" w:name="выбран-отдельный-icmp-echo-request"/>
    <w:p>
      <w:pPr>
        <w:pStyle w:val="Heading2"/>
      </w:pPr>
      <w:r>
        <w:t xml:space="preserve">4.7 Выбран отдельный ICMP Echo Request</w:t>
      </w:r>
    </w:p>
    <w:p>
      <w:pPr>
        <w:pStyle w:val="FirstParagraph"/>
      </w:pPr>
      <w:r>
        <w:t xml:space="preserve">Выбран отдельный ICMP Echo Request. В верхней таблице можно сопоставить исходный и конечный IPv4-адреса, а в деталях пакета — вложенность Ethernet II, IPv4 и ICMP.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2-007"/>
          <w:p>
            <w:pPr>
              <w:pStyle w:val="Compact"/>
              <w:jc w:val="center"/>
            </w:pPr>
            <w:r>
              <w:drawing>
                <wp:inline>
                  <wp:extent cx="5067300" cy="137262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72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Выбран отдельный ICMP Echo Request</w:t>
            </w:r>
          </w:p>
          <w:bookmarkEnd w:id="45"/>
        </w:tc>
      </w:tr>
    </w:tbl>
    <w:bookmarkEnd w:id="46"/>
    <w:bookmarkStart w:id="51" w:name="X5837b1c9d45162bdcae0a48ec7e525ebd11c5e0"/>
    <w:p>
      <w:pPr>
        <w:pStyle w:val="Heading2"/>
      </w:pPr>
      <w:r>
        <w:t xml:space="preserve">4.8 Захват показывает пару ARP Request/Reply: сначала узел запрашивает аппаратный адрес владельца IPv4, затем получает одноадресный ответ</w:t>
      </w:r>
    </w:p>
    <w:p>
      <w:pPr>
        <w:pStyle w:val="FirstParagraph"/>
      </w:pPr>
      <w:r>
        <w:t xml:space="preserve">Захват показывает пару ARP Request/Reply: сначала узел запрашивает аппаратный адрес владельца IPv4, затем получает одноадресный ответ. После этого запись может быть помещена в ARP-кэш.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2-008"/>
          <w:p>
            <w:pPr>
              <w:pStyle w:val="Compact"/>
              <w:jc w:val="center"/>
            </w:pPr>
            <w:r>
              <w:drawing>
                <wp:inline>
                  <wp:extent cx="5067300" cy="81754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817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Захват показывает пару ARP Request/Reply: сначала узел запрашивает аппаратный адрес владельца IPv4, затем получает одноадресный ответ</w:t>
            </w:r>
          </w:p>
          <w:bookmarkEnd w:id="50"/>
        </w:tc>
      </w:tr>
    </w:tbl>
    <w:bookmarkEnd w:id="51"/>
    <w:bookmarkStart w:id="56" w:name="X97358fd042549e252a5ac9bf6a66aefda6a84c2"/>
    <w:p>
      <w:pPr>
        <w:pStyle w:val="Heading2"/>
      </w:pPr>
      <w:r>
        <w:t xml:space="preserve">4.9 В Wireshark последовательно отображаются ICMP Echo Request и Echo Reply между 192</w:t>
      </w:r>
    </w:p>
    <w:p>
      <w:pPr>
        <w:pStyle w:val="FirstParagraph"/>
      </w:pPr>
      <w:r>
        <w:t xml:space="preserve">В Wireshark последовательно отображаются ICMP Echo Request и Echo Reply между 192.168.1.11 и 192.168.1.12. Чередование запросов и ответов соответствует успешному ping без потерь.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2-009"/>
          <w:p>
            <w:pPr>
              <w:pStyle w:val="Compact"/>
              <w:jc w:val="center"/>
            </w:pPr>
            <w:r>
              <w:drawing>
                <wp:inline>
                  <wp:extent cx="5067300" cy="151058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10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 Wireshark последовательно отображаются ICMP Echo Request и Echo Reply между 192</w:t>
            </w:r>
          </w:p>
          <w:bookmarkEnd w:id="55"/>
        </w:tc>
      </w:tr>
    </w:tbl>
    <w:bookmarkEnd w:id="56"/>
    <w:bookmarkStart w:id="61" w:name="X70403e44917ffe81587de31441501acdad57313"/>
    <w:p>
      <w:pPr>
        <w:pStyle w:val="Heading2"/>
      </w:pPr>
      <w:r>
        <w:t xml:space="preserve">4.10 Топология изменена: второй VPCS заменён программным маршрутизатором FRR</w:t>
      </w:r>
    </w:p>
    <w:p>
      <w:pPr>
        <w:pStyle w:val="FirstParagraph"/>
      </w:pPr>
      <w:r>
        <w:t xml:space="preserve">Топология изменена: второй VPCS заменён программным маршрутизатором FRR. Теперь проверяется не только коммутация, но и доступ PC1 к адресу интерфейса шлюза.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2-010"/>
          <w:p>
            <w:pPr>
              <w:pStyle w:val="Compact"/>
              <w:jc w:val="center"/>
            </w:pPr>
            <w:r>
              <w:drawing>
                <wp:inline>
                  <wp:extent cx="3994484" cy="363834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4484" cy="3638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Топология изменена: второй VPCS заменён программным маршрутизатором FRR</w:t>
            </w:r>
          </w:p>
          <w:bookmarkEnd w:id="60"/>
        </w:tc>
      </w:tr>
    </w:tbl>
    <w:bookmarkEnd w:id="61"/>
    <w:bookmarkStart w:id="66" w:name="pc1-перенастроен-на-адрес-192"/>
    <w:p>
      <w:pPr>
        <w:pStyle w:val="Heading2"/>
      </w:pPr>
      <w:r>
        <w:t xml:space="preserve">4.11 PC1 перенастроен на адрес 192</w:t>
      </w:r>
    </w:p>
    <w:p>
      <w:pPr>
        <w:pStyle w:val="FirstParagraph"/>
      </w:pPr>
      <w:r>
        <w:t xml:space="preserve">PC1 перенастроен на адрес 192.168.1.10/24, а 192.168.1.1 указан как default gateway. Команда show ip подтверждает, какие параметры VPCS будет использовать при отправке пакетов за пределы подсети.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2-011"/>
          <w:p>
            <w:pPr>
              <w:pStyle w:val="Compact"/>
              <w:jc w:val="center"/>
            </w:pPr>
            <w:r>
              <w:drawing>
                <wp:inline>
                  <wp:extent cx="5067300" cy="320825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08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PC1 перенастроен на адрес 192</w:t>
            </w:r>
          </w:p>
          <w:bookmarkEnd w:id="65"/>
        </w:tc>
      </w:tr>
    </w:tbl>
    <w:bookmarkEnd w:id="66"/>
    <w:bookmarkStart w:id="71" w:name="Xa7d1bf82116b732d73e0b18735c565e008eda36"/>
    <w:p>
      <w:pPr>
        <w:pStyle w:val="Heading2"/>
      </w:pPr>
      <w:r>
        <w:t xml:space="preserve">4.12 В running-config FRR задано имя msk-ndbaranov-gw-01, а интерфейсу eth0 назначен 192</w:t>
      </w:r>
    </w:p>
    <w:p>
      <w:pPr>
        <w:pStyle w:val="FirstParagraph"/>
      </w:pPr>
      <w:r>
        <w:t xml:space="preserve">В running-config FRR задано имя msk-ndbaranov-gw-01, а интерфейсу eth0 назначен 192.168.1.1/24. На снимке показана сохранённая конфигурация, а не только ввод отдельных команд.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2-012"/>
          <w:p>
            <w:pPr>
              <w:pStyle w:val="Compact"/>
              <w:jc w:val="center"/>
            </w:pPr>
            <w:r>
              <w:drawing>
                <wp:inline>
                  <wp:extent cx="4976261" cy="501476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6261" cy="5014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 running-config FRR задано имя msk-ndbaranov-gw-01, а интерфейсу eth0 назначен 192</w:t>
            </w:r>
          </w:p>
          <w:bookmarkEnd w:id="70"/>
        </w:tc>
      </w:tr>
    </w:tbl>
    <w:bookmarkEnd w:id="71"/>
    <w:bookmarkStart w:id="76" w:name="Xa727dcac5ababf61840d6ce41150b3645266f5e"/>
    <w:p>
      <w:pPr>
        <w:pStyle w:val="Heading2"/>
      </w:pPr>
      <w:r>
        <w:t xml:space="preserve">4.13 Команда show interface brief вывела eth0 в состоянии up с адресом 192</w:t>
      </w:r>
    </w:p>
    <w:p>
      <w:pPr>
        <w:pStyle w:val="FirstParagraph"/>
      </w:pPr>
      <w:r>
        <w:t xml:space="preserve">Команда show interface brief вывела eth0 в состоянии up с адресом 192.168.1.1/24. Остальные интерфейсы не задействованы, поэтому рабочий сегмент однозначно связан с eth0.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2-013"/>
          <w:p>
            <w:pPr>
              <w:pStyle w:val="Compact"/>
              <w:jc w:val="center"/>
            </w:pPr>
            <w:r>
              <w:drawing>
                <wp:inline>
                  <wp:extent cx="5067300" cy="234769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347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Команда show interface brief вывела eth0 в состоянии up с адресом 192</w:t>
            </w:r>
          </w:p>
          <w:bookmarkEnd w:id="75"/>
        </w:tc>
      </w:tr>
    </w:tbl>
    <w:bookmarkEnd w:id="76"/>
    <w:bookmarkStart w:id="81" w:name="с-pc1-выполнен-ping-адреса-шлюза-192"/>
    <w:p>
      <w:pPr>
        <w:pStyle w:val="Heading2"/>
      </w:pPr>
      <w:r>
        <w:t xml:space="preserve">4.14 С PC1 выполнен ping адреса шлюза 192</w:t>
      </w:r>
    </w:p>
    <w:p>
      <w:pPr>
        <w:pStyle w:val="FirstParagraph"/>
      </w:pPr>
      <w:r>
        <w:t xml:space="preserve">С PC1 выполнен ping адреса шлюза 192.168.1.1. Все запросы получили ответы, что подтверждает исправность линии PC1—коммутатор—FRR и совпадение сетевых масок.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2-014"/>
          <w:p>
            <w:pPr>
              <w:pStyle w:val="Compact"/>
              <w:jc w:val="center"/>
            </w:pPr>
            <w:r>
              <w:drawing>
                <wp:inline>
                  <wp:extent cx="5067300" cy="129763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97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 PC1 выполнен ping адреса шлюза 192</w:t>
            </w:r>
          </w:p>
          <w:bookmarkEnd w:id="80"/>
        </w:tc>
      </w:tr>
    </w:tbl>
    <w:bookmarkEnd w:id="81"/>
    <w:bookmarkStart w:id="86" w:name="Xe7855fbf64b072d2e1aa6db17bfe9b493d24872"/>
    <w:p>
      <w:pPr>
        <w:pStyle w:val="Heading2"/>
      </w:pPr>
      <w:r>
        <w:t xml:space="preserve">4.15 В захвате на линии к FRR видны ICMP-запросы от 192</w:t>
      </w:r>
    </w:p>
    <w:p>
      <w:pPr>
        <w:pStyle w:val="FirstParagraph"/>
      </w:pPr>
      <w:r>
        <w:t xml:space="preserve">В захвате на линии к FRR видны ICMP-запросы от 192.168.1.10 и ответы от 192.168.1.1. Пакеты подтверждают тот же результат на сетевом уровне, который ранее наблюдался в консоли ping.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2-015"/>
          <w:p>
            <w:pPr>
              <w:pStyle w:val="Compact"/>
              <w:jc w:val="center"/>
            </w:pPr>
            <w:r>
              <w:drawing>
                <wp:inline>
                  <wp:extent cx="5067300" cy="103935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39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 захвате на линии к FRR видны ICMP-запросы от 192</w:t>
            </w:r>
          </w:p>
          <w:bookmarkEnd w:id="85"/>
        </w:tc>
      </w:tr>
    </w:tbl>
    <w:bookmarkEnd w:id="86"/>
    <w:bookmarkStart w:id="91" w:name="X86533c9d2e612c8e9b035f602ee5f920f0c4ba3"/>
    <w:p>
      <w:pPr>
        <w:pStyle w:val="Heading2"/>
      </w:pPr>
      <w:r>
        <w:t xml:space="preserve">4.16 Схема с PC1, Ethernet-коммутатором и FRR показана в рабочем состоянии</w:t>
      </w:r>
    </w:p>
    <w:p>
      <w:pPr>
        <w:pStyle w:val="FirstParagraph"/>
      </w:pPr>
      <w:r>
        <w:t xml:space="preserve">Схема с PC1, Ethernet-коммутатором и FRR показана в рабочем состоянии. Зелёные точки на соединениях соответствуют поднятым интерфейсам после завершения адресной настройки.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2-016"/>
          <w:p>
            <w:pPr>
              <w:pStyle w:val="Compact"/>
              <w:jc w:val="center"/>
            </w:pPr>
            <w:r>
              <w:drawing>
                <wp:inline>
                  <wp:extent cx="5067300" cy="304896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48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Схема с PC1, Ethernet-коммутатором и FRR показана в рабочем состоянии</w:t>
            </w:r>
          </w:p>
          <w:bookmarkEnd w:id="90"/>
        </w:tc>
      </w:tr>
    </w:tbl>
    <w:bookmarkEnd w:id="91"/>
    <w:bookmarkStart w:id="96" w:name="X859133b8f884b11729227868938accf39bbdc93"/>
    <w:p>
      <w:pPr>
        <w:pStyle w:val="Heading2"/>
      </w:pPr>
      <w:r>
        <w:t xml:space="preserve">4.17 Повторный show ip на PC1 фиксирует адрес 192</w:t>
      </w:r>
    </w:p>
    <w:p>
      <w:pPr>
        <w:pStyle w:val="FirstParagraph"/>
      </w:pPr>
      <w:r>
        <w:t xml:space="preserve">Повторный show ip на PC1 фиксирует адрес 192.168.1.10/24 и шлюз 192.168.1.1 перед заменой маршрутизатора. Эти исходные параметры оставлены неизменными для корректного сравнения FRR и VyOS.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-017"/>
          <w:p>
            <w:pPr>
              <w:pStyle w:val="Compact"/>
              <w:jc w:val="center"/>
            </w:pPr>
            <w:r>
              <w:drawing>
                <wp:inline>
                  <wp:extent cx="5067300" cy="319715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97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Повторный show ip на PC1 фиксирует адрес 192</w:t>
            </w:r>
          </w:p>
          <w:bookmarkEnd w:id="95"/>
        </w:tc>
      </w:tr>
    </w:tbl>
    <w:bookmarkEnd w:id="96"/>
    <w:bookmarkStart w:id="101" w:name="X590708cfe0c04739628b1d8a6806d4e131411a5"/>
    <w:p>
      <w:pPr>
        <w:pStyle w:val="Heading2"/>
      </w:pPr>
      <w:r>
        <w:t xml:space="preserve">4.18 В конфигурационном режиме VyOS удалён адрес, получаемый по DHCP, задано имя узла и установлен статический 192</w:t>
      </w:r>
    </w:p>
    <w:p>
      <w:pPr>
        <w:pStyle w:val="FirstParagraph"/>
      </w:pPr>
      <w:r>
        <w:t xml:space="preserve">В конфигурационном режиме VyOS удалён адрес, получаемый по DHCP, задано имя узла и установлен статический 192.168.1.1/24 на eth0. Команда compare показывает ожидаемые изменения до их применения.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-018"/>
          <w:p>
            <w:pPr>
              <w:pStyle w:val="Compact"/>
              <w:jc w:val="center"/>
            </w:pPr>
            <w:r>
              <w:drawing>
                <wp:inline>
                  <wp:extent cx="5067300" cy="321219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12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 конфигурационном режиме VyOS удалён адрес, получаемый по DHCP, задано имя узла и установлен статический 192</w:t>
            </w:r>
          </w:p>
          <w:bookmarkEnd w:id="100"/>
        </w:tc>
      </w:tr>
    </w:tbl>
    <w:bookmarkEnd w:id="101"/>
    <w:bookmarkStart w:id="106" w:name="X9139967ac382c6725f51299d8a0556a1109795c"/>
    <w:p>
      <w:pPr>
        <w:pStyle w:val="Heading2"/>
      </w:pPr>
      <w:r>
        <w:t xml:space="preserve">4.19 После commit и save команда show interfaces выводит eth0 в состоянии up с адресом 192</w:t>
      </w:r>
    </w:p>
    <w:p>
      <w:pPr>
        <w:pStyle w:val="FirstParagraph"/>
      </w:pPr>
      <w:r>
        <w:t xml:space="preserve">После commit и save команда show interfaces выводит eth0 в состоянии up с адресом 192.168.1.1/24. Конфигурация сохранена в config.boot и будет восстановлена после перезагрузки.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-019"/>
          <w:p>
            <w:pPr>
              <w:pStyle w:val="Compact"/>
              <w:jc w:val="center"/>
            </w:pPr>
            <w:r>
              <w:drawing>
                <wp:inline>
                  <wp:extent cx="5067300" cy="319715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0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97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После commit и save команда show interfaces выводит eth0 в состоянии up с адресом 192</w:t>
            </w:r>
          </w:p>
          <w:bookmarkEnd w:id="105"/>
        </w:tc>
      </w:tr>
    </w:tbl>
    <w:bookmarkEnd w:id="106"/>
    <w:bookmarkStart w:id="111" w:name="pc1-успешно-отвечает-на-ping-к-192"/>
    <w:p>
      <w:pPr>
        <w:pStyle w:val="Heading2"/>
      </w:pPr>
      <w:r>
        <w:t xml:space="preserve">4.20 PC1 успешно отвечает на ping к 192</w:t>
      </w:r>
    </w:p>
    <w:p>
      <w:pPr>
        <w:pStyle w:val="FirstParagraph"/>
      </w:pPr>
      <w:r>
        <w:t xml:space="preserve">PC1 успешно отвечает на ping к 192.168.1.1 уже при работе VyOS. Совпадение результата с FRR показывает, что для конечного узла реализация маршрутизатора не меняет логику IPv4-обмена.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-020"/>
          <w:p>
            <w:pPr>
              <w:pStyle w:val="Compact"/>
              <w:jc w:val="center"/>
            </w:pPr>
            <w:r>
              <w:drawing>
                <wp:inline>
                  <wp:extent cx="5067300" cy="151341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0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13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PC1 успешно отвечает на ping к 192</w:t>
            </w:r>
          </w:p>
          <w:bookmarkEnd w:id="110"/>
        </w:tc>
      </w:tr>
    </w:tbl>
    <w:bookmarkEnd w:id="111"/>
    <w:bookmarkStart w:id="116" w:name="Xf690b1332c945fb369fa9dfa081b169d4010e06"/>
    <w:p>
      <w:pPr>
        <w:pStyle w:val="Heading2"/>
      </w:pPr>
      <w:r>
        <w:t xml:space="preserve">4.21 Wireshark зарегистрировал ICMP Echo между PC1 и интерфейсом VyOS</w:t>
      </w:r>
    </w:p>
    <w:p>
      <w:pPr>
        <w:pStyle w:val="FirstParagraph"/>
      </w:pPr>
      <w:r>
        <w:t xml:space="preserve">Wireshark зарегистрировал ICMP Echo между PC1 и интерфейсом VyOS. В колонках Source и Destination видны адреса 192.168.1.10 и 192.168.1.1, а ответы следуют за каждым запросом.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-021"/>
          <w:p>
            <w:pPr>
              <w:pStyle w:val="Compact"/>
              <w:jc w:val="center"/>
            </w:pPr>
            <w:r>
              <w:drawing>
                <wp:inline>
                  <wp:extent cx="5067300" cy="152603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02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26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Wireshark зарегистрировал ICMP Echo между PC1 и интерфейсом VyOS</w:t>
            </w:r>
          </w:p>
          <w:bookmarkEnd w:id="115"/>
        </w:tc>
      </w:tr>
    </w:tbl>
    <w:bookmarkEnd w:id="116"/>
    <w:bookmarkStart w:id="121" w:name="Xe891bc511d2560d2447891d9b04f287a03ef676"/>
    <w:p>
      <w:pPr>
        <w:pStyle w:val="Heading2"/>
      </w:pPr>
      <w:r>
        <w:t xml:space="preserve">4.22 В нижней панели раскрыты заголовки Ethernet II, Internet Protocol Version 4 и Internet Control Message Protocol</w:t>
      </w:r>
    </w:p>
    <w:p>
      <w:pPr>
        <w:pStyle w:val="FirstParagraph"/>
      </w:pPr>
      <w:r>
        <w:t xml:space="preserve">В нижней панели раскрыты заголовки Ethernet II, Internet Protocol Version 4 и Internet Control Message Protocol. Здесь можно проследить переход от MAC-адресов кадра к IPv4-адресам и типу ICMP-сообщения.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-022"/>
          <w:p>
            <w:pPr>
              <w:pStyle w:val="Compact"/>
              <w:jc w:val="center"/>
            </w:pPr>
            <w:r>
              <w:drawing>
                <wp:inline>
                  <wp:extent cx="5067300" cy="1205293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02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05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 нижней панели раскрыты заголовки Ethernet II, Internet Protocol Version 4 и Internet Control Message Protocol</w:t>
            </w:r>
          </w:p>
          <w:bookmarkEnd w:id="120"/>
        </w:tc>
      </w:tr>
    </w:tbl>
    <w:bookmarkEnd w:id="121"/>
    <w:bookmarkEnd w:id="122"/>
    <w:bookmarkStart w:id="12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Построить простые модели сети на базе коммутатора и маршрутизатора и исследовать Ethernet, ARP и ICMP в Wireshark Полученные результаты подтверждают работоспособность собранной схемы и корректность выполненной настройки.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7" Target="media/rId1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Баранов Никита Дмитриевич</dc:creator>
  <dc:language>ru-RU</dc:language>
  <cp:keywords/>
  <dcterms:created xsi:type="dcterms:W3CDTF">2026-09-14T12:59:11Z</dcterms:created>
  <dcterms:modified xsi:type="dcterms:W3CDTF">2026-09-14T12:59:11Z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Моделирование канального уровня и анализ трафика</vt:lpwstr>
  </property>
  <property fmtid="{D5CDD505-2E9C-101B-9397-08002B2CF9AE}" pid="18" name="toc-title">
    <vt:lpwstr>Содержание</vt:lpwstr>
  </property>
</Properties>
</file>