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8</w:t>
      </w:r>
    </w:p>
    <w:p>
      <w:pPr>
        <w:pStyle w:val="Subtitle"/>
      </w:pPr>
      <w:r>
        <w:t xml:space="preserve">Туннелирование IPv6 через IPv4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туннель между IPv6-сегментами через IPv4-инфраструктуру и исследовать инкапсуляцию.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Собрана топология из двух IPv6-сетей и промежуточного IPv4-канала.</w:t>
      </w:r>
    </w:p>
    <w:p>
      <w:pPr>
        <w:pStyle w:val="Compact"/>
        <w:numPr>
          <w:ilvl w:val="0"/>
          <w:numId w:val="1001"/>
        </w:numPr>
      </w:pPr>
      <w:r>
        <w:t xml:space="preserve">Конечным узлам назначены IPv6-адреса и шлюзы.</w:t>
      </w:r>
    </w:p>
    <w:p>
      <w:pPr>
        <w:pStyle w:val="Compact"/>
        <w:numPr>
          <w:ilvl w:val="0"/>
          <w:numId w:val="1001"/>
        </w:numPr>
      </w:pPr>
      <w:r>
        <w:t xml:space="preserve">На граничных маршрутизаторах настроены IPv4-адреса транзитной сети.</w:t>
      </w:r>
    </w:p>
    <w:p>
      <w:pPr>
        <w:pStyle w:val="Compact"/>
        <w:numPr>
          <w:ilvl w:val="0"/>
          <w:numId w:val="1001"/>
        </w:numPr>
      </w:pPr>
      <w:r>
        <w:t xml:space="preserve">Создан tunnel-интерфейс с локальной и удалённой IPv4-точками.</w:t>
      </w:r>
    </w:p>
    <w:p>
      <w:pPr>
        <w:pStyle w:val="Compact"/>
        <w:numPr>
          <w:ilvl w:val="0"/>
          <w:numId w:val="1001"/>
        </w:numPr>
      </w:pPr>
      <w:r>
        <w:t xml:space="preserve">В таблицы маршрутизации добавлены пути к удалённым IPv6-префиксам через туннель.</w:t>
      </w:r>
    </w:p>
    <w:p>
      <w:pPr>
        <w:pStyle w:val="Compact"/>
        <w:numPr>
          <w:ilvl w:val="0"/>
          <w:numId w:val="1001"/>
        </w:numPr>
      </w:pPr>
      <w:r>
        <w:t xml:space="preserve">traceroute и ping6 показывают прохождение трафика между IPv6-сетями.</w:t>
      </w:r>
    </w:p>
    <w:p>
      <w:pPr>
        <w:pStyle w:val="Compact"/>
        <w:numPr>
          <w:ilvl w:val="0"/>
          <w:numId w:val="1001"/>
        </w:numPr>
      </w:pPr>
      <w:r>
        <w:t xml:space="preserve">Wireshark подтверждает инкапсуляцию пакета IPv6 внутрь IPv4.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Коммутатор изучает MAC-адреса источников и передаёт кадры через порт, за которым обнаружен адрес назначения.</w:t>
      </w:r>
    </w:p>
    <w:bookmarkEnd w:id="11"/>
    <w:bookmarkStart w:id="52" w:name="выполнение-работы"/>
    <w:p>
      <w:pPr>
        <w:pStyle w:val="Heading1"/>
      </w:pPr>
      <w:r>
        <w:t xml:space="preserve">4. Выполнение работы</w:t>
      </w:r>
    </w:p>
    <w:bookmarkStart w:id="16" w:name="Xd15c880c8aaeabcbeb94b475a3a5f8e8caca95f"/>
    <w:p>
      <w:pPr>
        <w:pStyle w:val="Heading2"/>
      </w:pPr>
      <w:r>
        <w:t xml:space="preserve">4.1 На схеме два IPv6-сегмента соединены парой маршрутизаторов VyOS, между которыми используется IPv4-транзит</w:t>
      </w:r>
    </w:p>
    <w:p>
      <w:pPr>
        <w:pStyle w:val="FirstParagraph"/>
      </w:pPr>
      <w:r>
        <w:t xml:space="preserve">На схеме два IPv6-сегмента соединены парой маршрутизаторов VyOS, между которыми используется IPv4-транзит. Конечные VPCS подключены через отдельные коммутаторы.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8-001"/>
          <w:p>
            <w:pPr>
              <w:pStyle w:val="Compact"/>
              <w:jc w:val="center"/>
            </w:pPr>
            <w:r>
              <w:drawing>
                <wp:inline>
                  <wp:extent cx="3580597" cy="412923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0597" cy="41292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 схеме два IPv6-сегмента соединены парой маршрутизаторов VyOS, между которыми используется IPv4-транзит</w:t>
            </w:r>
          </w:p>
          <w:bookmarkEnd w:id="15"/>
        </w:tc>
      </w:tr>
    </w:tbl>
    <w:bookmarkEnd w:id="16"/>
    <w:bookmarkStart w:id="21" w:name="X54cb3fbd40ec55181de35ad4efb583b13a6f02e"/>
    <w:p>
      <w:pPr>
        <w:pStyle w:val="Heading2"/>
      </w:pPr>
      <w:r>
        <w:t xml:space="preserve">4.2 PC1 и PC2 получили IPv6-адреса 1000::a/64 и 2000::a/64</w:t>
      </w:r>
    </w:p>
    <w:p>
      <w:pPr>
        <w:pStyle w:val="FirstParagraph"/>
      </w:pPr>
      <w:r>
        <w:t xml:space="preserve">PC1 и PC2 получили IPv6-адреса 1000::a/64 и 2000::a/64. Команда show ipv6 также показывает link-local адреса, необходимые для работы соседства в локальном сегменте.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8-002"/>
          <w:p>
            <w:pPr>
              <w:pStyle w:val="Compact"/>
              <w:jc w:val="center"/>
            </w:pPr>
            <w:r>
              <w:drawing>
                <wp:inline>
                  <wp:extent cx="5067300" cy="921570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9215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PC1 и PC2 получили IPv6-адреса 1000::a/64 и 2000::a/64</w:t>
            </w:r>
          </w:p>
          <w:bookmarkEnd w:id="20"/>
        </w:tc>
      </w:tr>
    </w:tbl>
    <w:bookmarkEnd w:id="21"/>
    <w:bookmarkStart w:id="26" w:name="Xaf1ff007029fc6e660734261f308c7e9ca6392a"/>
    <w:p>
      <w:pPr>
        <w:pStyle w:val="Heading2"/>
      </w:pPr>
      <w:r>
        <w:t xml:space="preserve">4.3 В нескольких консолях заданы адреса пользовательских интерфейсов и IPv4 10</w:t>
      </w:r>
    </w:p>
    <w:p>
      <w:pPr>
        <w:pStyle w:val="FirstParagraph"/>
      </w:pPr>
      <w:r>
        <w:t xml:space="preserve">В нескольких консолях заданы адреса пользовательских интерфейсов и IPv4 10.0.0.1/8–10.0.0.2/8 на межмаршрутизаторной линии. После commit/save базовая связность граничных узлов подготовлена.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8-003"/>
          <w:p>
            <w:pPr>
              <w:pStyle w:val="Compact"/>
              <w:jc w:val="center"/>
            </w:pPr>
            <w:r>
              <w:drawing>
                <wp:inline>
                  <wp:extent cx="5067300" cy="324482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4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 нескольких консолях заданы адреса пользовательских интерфейсов и IPv4 10</w:t>
            </w:r>
          </w:p>
          <w:bookmarkEnd w:id="25"/>
        </w:tc>
      </w:tr>
    </w:tbl>
    <w:bookmarkEnd w:id="26"/>
    <w:bookmarkStart w:id="31" w:name="X6dfb862ba144c2b2da34d61be67bf38d60cbe36"/>
    <w:p>
      <w:pPr>
        <w:pStyle w:val="Heading2"/>
      </w:pPr>
      <w:r>
        <w:t xml:space="preserve">4.4 На VyOS выполнен traceroute до IPv4-соседа и попытка обращения к удалённой IPv6-сети до завершения туннеля</w:t>
      </w:r>
    </w:p>
    <w:p>
      <w:pPr>
        <w:pStyle w:val="FirstParagraph"/>
      </w:pPr>
      <w:r>
        <w:t xml:space="preserve">На VyOS выполнен traceroute до IPv4-соседа и попытка обращения к удалённой IPv6-сети до завершения туннеля. Вывод отделяет доступность транспортной IPv4-сети от маршрутизации IPv6.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8-004"/>
          <w:p>
            <w:pPr>
              <w:pStyle w:val="Compact"/>
              <w:jc w:val="center"/>
            </w:pPr>
            <w:r>
              <w:drawing>
                <wp:inline>
                  <wp:extent cx="5067300" cy="314098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40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 VyOS выполнен traceroute до IPv4-соседа и попытка обращения к удалённой IPv6-сети до завершения туннеля</w:t>
            </w:r>
          </w:p>
          <w:bookmarkEnd w:id="30"/>
        </w:tc>
      </w:tr>
    </w:tbl>
    <w:bookmarkEnd w:id="31"/>
    <w:bookmarkStart w:id="36" w:name="повторный-traceroute-проходит-до-10"/>
    <w:p>
      <w:pPr>
        <w:pStyle w:val="Heading2"/>
      </w:pPr>
      <w:r>
        <w:t xml:space="preserve">4.5 Повторный traceroute проходит до 10</w:t>
      </w:r>
    </w:p>
    <w:p>
      <w:pPr>
        <w:pStyle w:val="FirstParagraph"/>
      </w:pPr>
      <w:r>
        <w:t xml:space="preserve">Повторный traceroute проходит до 10.0.0.2 и показывает один промежуточный переход. Таким образом, адреса локальной и удалённой точек будущего туннеля взаимно достижимы.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8-005"/>
          <w:p>
            <w:pPr>
              <w:pStyle w:val="Compact"/>
              <w:jc w:val="center"/>
            </w:pPr>
            <w:r>
              <w:drawing>
                <wp:inline>
                  <wp:extent cx="5067300" cy="1473978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73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Повторный traceroute проходит до 10</w:t>
            </w:r>
          </w:p>
          <w:bookmarkEnd w:id="35"/>
        </w:tc>
      </w:tr>
    </w:tbl>
    <w:bookmarkEnd w:id="36"/>
    <w:bookmarkStart w:id="41" w:name="X8337f0b36477d3f5204a3cd78769faf67050419"/>
    <w:p>
      <w:pPr>
        <w:pStyle w:val="Heading2"/>
      </w:pPr>
      <w:r>
        <w:t xml:space="preserve">4.6 В двух окнах VyOS проверены таблицы маршрутизации и связность после настройки tunnel-интерфейсов</w:t>
      </w:r>
    </w:p>
    <w:p>
      <w:pPr>
        <w:pStyle w:val="FirstParagraph"/>
      </w:pPr>
      <w:r>
        <w:t xml:space="preserve">В двух окнах VyOS проверены таблицы маршрутизации и связность после настройки tunnel-интерфейсов. Появившиеся пути направляют удалённые IPv6-префиксы через логический канал.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8-006"/>
          <w:p>
            <w:pPr>
              <w:pStyle w:val="Compact"/>
              <w:jc w:val="center"/>
            </w:pPr>
            <w:r>
              <w:drawing>
                <wp:inline>
                  <wp:extent cx="5067300" cy="164062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40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 двух окнах VyOS проверены таблицы маршрутизации и связность после настройки tunnel-интерфейсов</w:t>
            </w:r>
          </w:p>
          <w:bookmarkEnd w:id="40"/>
        </w:tc>
      </w:tr>
    </w:tbl>
    <w:bookmarkEnd w:id="41"/>
    <w:bookmarkStart w:id="46" w:name="X0a027394fa8e4ec1794e01990c6f80234c7747a"/>
    <w:p>
      <w:pPr>
        <w:pStyle w:val="Heading2"/>
      </w:pPr>
      <w:r>
        <w:t xml:space="preserve">4.7 Финальная консольная проверка содержит ping и traceroute между 1000::/64 и 2000::/64</w:t>
      </w:r>
    </w:p>
    <w:p>
      <w:pPr>
        <w:pStyle w:val="FirstParagraph"/>
      </w:pPr>
      <w:r>
        <w:t xml:space="preserve">Финальная консольная проверка содержит ping и traceroute между 1000::/64 и 2000::/64. Маршрут проходит через граничные маршрутизаторы, хотя промежуточная сеть использует IPv4.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8-007"/>
          <w:p>
            <w:pPr>
              <w:pStyle w:val="Compact"/>
              <w:jc w:val="center"/>
            </w:pPr>
            <w:r>
              <w:drawing>
                <wp:inline>
                  <wp:extent cx="5067300" cy="164616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646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Финальная консольная проверка содержит ping и traceroute между 1000::/64 и 2000::/64</w:t>
            </w:r>
          </w:p>
          <w:bookmarkEnd w:id="45"/>
        </w:tc>
      </w:tr>
    </w:tbl>
    <w:bookmarkEnd w:id="46"/>
    <w:bookmarkStart w:id="51" w:name="X8271efc7cf0de89e7141c1ab566f0ec8ae78cd6"/>
    <w:p>
      <w:pPr>
        <w:pStyle w:val="Heading2"/>
      </w:pPr>
      <w:r>
        <w:t xml:space="preserve">4.8 В Wireshark рядом с ICMPv6 Echo видны IPv4-пакеты с инкапсулированной нагрузкой IPv6</w:t>
      </w:r>
    </w:p>
    <w:p>
      <w:pPr>
        <w:pStyle w:val="FirstParagraph"/>
      </w:pPr>
      <w:r>
        <w:t xml:space="preserve">В Wireshark рядом с ICMPv6 Echo видны IPv4-пакеты с инкапсулированной нагрузкой IPv6. Совпадение обменов по времени подтверждает перенос исходного IPv6-пакета внутри IPv4.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8-008"/>
          <w:p>
            <w:pPr>
              <w:pStyle w:val="Compact"/>
              <w:jc w:val="center"/>
            </w:pPr>
            <w:r>
              <w:drawing>
                <wp:inline>
                  <wp:extent cx="5067300" cy="215010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50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 Wireshark рядом с ICMPv6 Echo видны IPv4-пакеты с инкапсулированной нагрузкой IPv6</w:t>
            </w:r>
          </w:p>
          <w:bookmarkEnd w:id="50"/>
        </w:tc>
      </w:tr>
    </w:tbl>
    <w:bookmarkEnd w:id="51"/>
    <w:bookmarkEnd w:id="52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Настроить туннель между IPv6-сегментами через IPv4-инфраструктуру и исследовать инкапсуляцию Полученные результаты подтверждают работоспособность собранной схемы и корректность выполненной настройки.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8</dc:title>
  <dc:creator>Баранов Никита Дмитриевич</dc:creator>
  <dc:language>ru-RU</dc:language>
  <cp:keywords/>
  <dcterms:created xsi:type="dcterms:W3CDTF">2026-09-14T13:14:31Z</dcterms:created>
  <dcterms:modified xsi:type="dcterms:W3CDTF">2026-09-14T13:14:31Z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Туннелирование IPv6 через IPv4</vt:lpwstr>
  </property>
  <property fmtid="{D5CDD505-2E9C-101B-9397-08002B2CF9AE}" pid="18" name="toc-title">
    <vt:lpwstr>Содержание</vt:lpwstr>
  </property>
</Properties>
</file>