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3</w:t>
      </w:r>
    </w:p>
    <w:p>
      <w:pPr>
        <w:pStyle w:val="Subtitle"/>
      </w:pPr>
      <w:r>
        <w:t xml:space="preserve">Адресация IPv4 и IPv6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организацию адресного пространства IPv4/IPv6 и научиться рассчитывать параметры подсетей.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Для сети 172.16.20.0/24 определены адрес сети, широковещательный адрес и допустимый диапазон узлов.</w:t>
      </w:r>
    </w:p>
    <w:p>
      <w:pPr>
        <w:pStyle w:val="Compact"/>
        <w:numPr>
          <w:ilvl w:val="0"/>
          <w:numId w:val="1001"/>
        </w:numPr>
      </w:pPr>
      <w:r>
        <w:t xml:space="preserve">Переход к префиксу /25 даёт две подсети по 126 пригодных адресов.</w:t>
      </w:r>
    </w:p>
    <w:p>
      <w:pPr>
        <w:pStyle w:val="Compact"/>
        <w:numPr>
          <w:ilvl w:val="0"/>
          <w:numId w:val="1001"/>
        </w:numPr>
      </w:pPr>
      <w:r>
        <w:t xml:space="preserve">Для 10.10.1.64/26 определены границы 10.10.1.64–10.10.1.127 и broadcast 10.10.1.127.</w:t>
      </w:r>
    </w:p>
    <w:p>
      <w:pPr>
        <w:pStyle w:val="Compact"/>
        <w:numPr>
          <w:ilvl w:val="0"/>
          <w:numId w:val="1001"/>
        </w:numPr>
      </w:pPr>
      <w:r>
        <w:t xml:space="preserve">Для IPv6 разобрана структура префикса /48 и формирование подсетей /64.</w:t>
      </w:r>
    </w:p>
    <w:p>
      <w:pPr>
        <w:pStyle w:val="Compact"/>
        <w:numPr>
          <w:ilvl w:val="0"/>
          <w:numId w:val="1001"/>
        </w:numPr>
      </w:pPr>
      <w:r>
        <w:t xml:space="preserve">Результаты расчётов использованы далее при настройке двойного стека.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Таблица маршрутизации сопоставляет адрес назначения с наиболее длинным подходящим префиксом и передаёт пакет следующему узлу или в подключённую сеть.</w:t>
      </w:r>
    </w:p>
    <w:bookmarkEnd w:id="11"/>
    <w:bookmarkStart w:id="27" w:name="выполнение-работы"/>
    <w:p>
      <w:pPr>
        <w:pStyle w:val="Heading1"/>
      </w:pPr>
      <w:r>
        <w:t xml:space="preserve">4. Выполнение работы</w:t>
      </w:r>
    </w:p>
    <w:bookmarkStart w:id="16" w:name="на-листе-выполнен-расчёт-сети-172"/>
    <w:p>
      <w:pPr>
        <w:pStyle w:val="Heading2"/>
      </w:pPr>
      <w:r>
        <w:t xml:space="preserve">4.1 На листе выполнен расчёт сети 172</w:t>
      </w:r>
    </w:p>
    <w:p>
      <w:pPr>
        <w:pStyle w:val="FirstParagraph"/>
      </w:pPr>
      <w:r>
        <w:t xml:space="preserve">На листе выполнен расчёт сети 172.16.20.0/24 и её деления на /25. Записаны маска 255.255.255.128, широковещательные адреса и по 126 допустимых адресов узлов в каждой половине.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3-001"/>
          <w:p>
            <w:pPr>
              <w:pStyle w:val="Compact"/>
              <w:jc w:val="center"/>
            </w:pPr>
            <w:r>
              <w:drawing>
                <wp:inline>
                  <wp:extent cx="4918509" cy="751733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8509" cy="7517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 листе выполнен расчёт сети 172</w:t>
            </w:r>
          </w:p>
          <w:bookmarkEnd w:id="15"/>
        </w:tc>
      </w:tr>
    </w:tbl>
    <w:bookmarkEnd w:id="16"/>
    <w:bookmarkStart w:id="21" w:name="для-подсети-10"/>
    <w:p>
      <w:pPr>
        <w:pStyle w:val="Heading2"/>
      </w:pPr>
      <w:r>
        <w:t xml:space="preserve">4.2 Для подсети 10</w:t>
      </w:r>
    </w:p>
    <w:p>
      <w:pPr>
        <w:pStyle w:val="FirstParagraph"/>
      </w:pPr>
      <w:r>
        <w:t xml:space="preserve">Для подсети 10.10.1.64/26 определены границы: первый узел 10.10.1.65, последний 10.10.1.126, broadcast 10.10.1.127. Ниже показано дальнейшее деление диапазона на блоки /27.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3-002"/>
          <w:p>
            <w:pPr>
              <w:pStyle w:val="Compact"/>
              <w:jc w:val="center"/>
            </w:pPr>
            <w:r>
              <w:drawing>
                <wp:inline>
                  <wp:extent cx="5067300" cy="4207127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207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Для подсети 10</w:t>
            </w:r>
          </w:p>
          <w:bookmarkEnd w:id="20"/>
        </w:tc>
      </w:tr>
    </w:tbl>
    <w:bookmarkEnd w:id="21"/>
    <w:bookmarkStart w:id="26" w:name="X2ebbd7d39e695d051e939bd1664a2be8ac9bbbd"/>
    <w:p>
      <w:pPr>
        <w:pStyle w:val="Heading2"/>
      </w:pPr>
      <w:r>
        <w:t xml:space="preserve">4.3 В части IPv6 полный адрес сокращён удалением ведущих нулей и самой длинной последовательности нулевых групп</w:t>
      </w:r>
    </w:p>
    <w:p>
      <w:pPr>
        <w:pStyle w:val="FirstParagraph"/>
      </w:pPr>
      <w:r>
        <w:t xml:space="preserve">В части IPv6 полный адрес сокращён удалением ведущих нулей и самой длинной последовательности нулевых групп. Также отмечено, как из исходного префикса формируются отдельные подсети /64.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3-003"/>
          <w:p>
            <w:pPr>
              <w:pStyle w:val="Compact"/>
              <w:jc w:val="center"/>
            </w:pPr>
            <w:r>
              <w:drawing>
                <wp:inline>
                  <wp:extent cx="5067300" cy="287455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74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 части IPv6 полный адрес сокращён удалением ведущих нулей и самой длинной последовательности нулевых групп</w:t>
            </w:r>
          </w:p>
          <w:bookmarkEnd w:id="25"/>
        </w:tc>
      </w:tr>
    </w:tbl>
    <w:bookmarkEnd w:id="26"/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Изучить организацию адресного пространства IPv4/IPv6 и научиться рассчитывать параметры подсетей Полученные результаты подтверждают работоспособность собранной схемы и корректность выполненной настройки.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creator>Баранов Никита Дмитриевич</dc:creator>
  <dc:language>ru-RU</dc:language>
  <cp:keywords/>
  <dcterms:created xsi:type="dcterms:W3CDTF">2026-09-14T12:54:47Z</dcterms:created>
  <dcterms:modified xsi:type="dcterms:W3CDTF">2026-09-14T12:54:47Z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Адресация IPv4 и IPv6</vt:lpwstr>
  </property>
  <property fmtid="{D5CDD505-2E9C-101B-9397-08002B2CF9AE}" pid="18" name="toc-title">
    <vt:lpwstr>Содержание</vt:lpwstr>
  </property>
</Properties>
</file>