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4</w:t>
      </w:r>
    </w:p>
    <w:p>
      <w:pPr>
        <w:pStyle w:val="Subtitle"/>
      </w:pPr>
      <w:r>
        <w:t xml:space="preserve">Двойной стек IPv4 и IPv6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Распределить адресное пространство и настроить маршрутизацию IPv4/IPv6 между локальными подсетями.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Собрана топология с двумя пользовательскими сегментами и маршрутизатором.</w:t>
      </w:r>
    </w:p>
    <w:p>
      <w:pPr>
        <w:pStyle w:val="Compact"/>
        <w:numPr>
          <w:ilvl w:val="0"/>
          <w:numId w:val="1001"/>
        </w:numPr>
      </w:pPr>
      <w:r>
        <w:t xml:space="preserve">Интерфейсам назначены IPv4-адреса 172.16.20.1/25, 172.16.20.129/25 и транзитный адрес 64.100.1.1/24.</w:t>
      </w:r>
    </w:p>
    <w:p>
      <w:pPr>
        <w:pStyle w:val="Compact"/>
        <w:numPr>
          <w:ilvl w:val="0"/>
          <w:numId w:val="1001"/>
        </w:numPr>
      </w:pPr>
      <w:r>
        <w:t xml:space="preserve">На узлах настроены адреса и шлюзы; show ip подтверждает параметры.</w:t>
      </w:r>
    </w:p>
    <w:p>
      <w:pPr>
        <w:pStyle w:val="Compact"/>
        <w:numPr>
          <w:ilvl w:val="0"/>
          <w:numId w:val="1001"/>
        </w:numPr>
      </w:pPr>
      <w:r>
        <w:t xml:space="preserve">Интерфейсы VyOS получили IPv6-префиксы /64; конфигурация сохранена.</w:t>
      </w:r>
    </w:p>
    <w:p>
      <w:pPr>
        <w:pStyle w:val="Compact"/>
        <w:numPr>
          <w:ilvl w:val="0"/>
          <w:numId w:val="1001"/>
        </w:numPr>
      </w:pPr>
      <w:r>
        <w:t xml:space="preserve">Wireshark фиксирует ARP, ICMP и ICMPv6 Neighbor Discovery.</w:t>
      </w:r>
    </w:p>
    <w:p>
      <w:pPr>
        <w:pStyle w:val="Compact"/>
        <w:numPr>
          <w:ilvl w:val="0"/>
          <w:numId w:val="1001"/>
        </w:numPr>
      </w:pPr>
      <w:r>
        <w:t xml:space="preserve">Самостоятельное задание решено для 10.10.1.96/27 и 10.10.1.16/28, а также 2001:db8:1:1::/64 и 2001:db8:1:4::/64.</w:t>
      </w:r>
    </w:p>
    <w:p>
      <w:pPr>
        <w:pStyle w:val="Compact"/>
        <w:numPr>
          <w:ilvl w:val="0"/>
          <w:numId w:val="1001"/>
        </w:numPr>
      </w:pPr>
      <w:r>
        <w:t xml:space="preserve">Для первой IPv4-подсети: сеть 10.10.1.96, узлы .97–.126, broadcast .127; для второй: сеть 10.10.1.16, узлы .17–.30, broadcast .31.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Статические маршруты задаются администратором. Каждая запись содержит сеть назначения и адрес следующего маршрутизатора.</w:t>
      </w:r>
    </w:p>
    <w:bookmarkEnd w:id="11"/>
    <w:bookmarkStart w:id="117" w:name="выполнение-работы"/>
    <w:p>
      <w:pPr>
        <w:pStyle w:val="Heading1"/>
      </w:pPr>
      <w:r>
        <w:t xml:space="preserve">4. Выполнение работы</w:t>
      </w:r>
    </w:p>
    <w:bookmarkStart w:id="16" w:name="X6b6fd4d51ab456e8d8725c4fd0290a4e9595292"/>
    <w:p>
      <w:pPr>
        <w:pStyle w:val="Heading2"/>
      </w:pPr>
      <w:r>
        <w:t xml:space="preserve">4.1 На общей схеме размещены два пользовательских сегмента, серверный узел и два маршрутизатора</w:t>
      </w:r>
    </w:p>
    <w:p>
      <w:pPr>
        <w:pStyle w:val="FirstParagraph"/>
      </w:pPr>
      <w:r>
        <w:t xml:space="preserve">На общей схеме размещены два пользовательских сегмента, серверный узел и два маршрутизатора. Подписи устройств и соединений позволяют сопоставить дальнейшие адреса с конкретными интерфейсами.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4-001"/>
          <w:p>
            <w:pPr>
              <w:pStyle w:val="Compact"/>
              <w:jc w:val="center"/>
            </w:pPr>
            <w:r>
              <w:drawing>
                <wp:inline>
                  <wp:extent cx="5067300" cy="3231017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310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 общей схеме размещены два пользовательских сегмента, серверный узел и два маршрутизатора</w:t>
            </w:r>
          </w:p>
          <w:bookmarkEnd w:id="15"/>
        </w:tc>
      </w:tr>
    </w:tbl>
    <w:bookmarkEnd w:id="16"/>
    <w:bookmarkStart w:id="21" w:name="на-pc1-показаны-ipv4-172"/>
    <w:p>
      <w:pPr>
        <w:pStyle w:val="Heading2"/>
      </w:pPr>
      <w:r>
        <w:t xml:space="preserve">4.2 На PC1 показаны IPv4 172</w:t>
      </w:r>
    </w:p>
    <w:p>
      <w:pPr>
        <w:pStyle w:val="FirstParagraph"/>
      </w:pPr>
      <w:r>
        <w:t xml:space="preserve">На PC1 показаны IPv4 172.16.20.10/25 и глобальный IPv6 2001:db8:c0de:12::a/64. Шлюз 172.16.20.1 относится к первой половине сети /24.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4-002"/>
          <w:p>
            <w:pPr>
              <w:pStyle w:val="Compact"/>
              <w:jc w:val="center"/>
            </w:pPr>
            <w:r>
              <w:drawing>
                <wp:inline>
                  <wp:extent cx="5067300" cy="3216146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16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 PC1 показаны IPv4 172</w:t>
            </w:r>
          </w:p>
          <w:bookmarkEnd w:id="20"/>
        </w:tc>
      </w:tr>
    </w:tbl>
    <w:bookmarkEnd w:id="21"/>
    <w:bookmarkStart w:id="26" w:name="X411408962b211e1b8c2992e387d53593d07f090"/>
    <w:p>
      <w:pPr>
        <w:pStyle w:val="Heading2"/>
      </w:pPr>
      <w:r>
        <w:t xml:space="preserve">4.3 PC2 находится во второй IPv4-подсети и использует 172</w:t>
      </w:r>
    </w:p>
    <w:p>
      <w:pPr>
        <w:pStyle w:val="FirstParagraph"/>
      </w:pPr>
      <w:r>
        <w:t xml:space="preserve">PC2 находится во второй IPv4-подсети и использует 172.16.20.138/25 со шлюзом 172.16.20.129. Глобальный IPv6-адрес сформирован уже из другого /64-префикса.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4-003"/>
          <w:p>
            <w:pPr>
              <w:pStyle w:val="Compact"/>
              <w:jc w:val="center"/>
            </w:pPr>
            <w:r>
              <w:drawing>
                <wp:inline>
                  <wp:extent cx="5067300" cy="454247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5424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PC2 находится во второй IPv4-подсети и использует 172</w:t>
            </w:r>
          </w:p>
          <w:bookmarkEnd w:id="25"/>
        </w:tc>
      </w:tr>
    </w:tbl>
    <w:bookmarkEnd w:id="26"/>
    <w:bookmarkStart w:id="31" w:name="серверному-vpcs-назначен-64"/>
    <w:p>
      <w:pPr>
        <w:pStyle w:val="Heading2"/>
      </w:pPr>
      <w:r>
        <w:t xml:space="preserve">4.4 Серверному VPCS назначен 64</w:t>
      </w:r>
    </w:p>
    <w:p>
      <w:pPr>
        <w:pStyle w:val="FirstParagraph"/>
      </w:pPr>
      <w:r>
        <w:t xml:space="preserve">Серверному VPCS назначен 64.100.1.10/24, а 64.100.1.1 указан как шлюз. Вывод show ip сохраняет параметры отдельного транзитного/серверного сегмента.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4-004"/>
          <w:p>
            <w:pPr>
              <w:pStyle w:val="Compact"/>
              <w:jc w:val="center"/>
            </w:pPr>
            <w:r>
              <w:drawing>
                <wp:inline>
                  <wp:extent cx="5067300" cy="308807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0880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Серверному VPCS назначен 64</w:t>
            </w:r>
          </w:p>
          <w:bookmarkEnd w:id="30"/>
        </w:tc>
      </w:tr>
    </w:tbl>
    <w:bookmarkEnd w:id="31"/>
    <w:bookmarkStart w:id="36" w:name="X619aa1eb196d18bf94e43ad7d3e79ee3b05ac4c"/>
    <w:p>
      <w:pPr>
        <w:pStyle w:val="Heading2"/>
      </w:pPr>
      <w:r>
        <w:t xml:space="preserve">4.5 На FRR интерфейсы eth0 и eth1 получили адреса 172</w:t>
      </w:r>
    </w:p>
    <w:p>
      <w:pPr>
        <w:pStyle w:val="FirstParagraph"/>
      </w:pPr>
      <w:r>
        <w:t xml:space="preserve">На FRR интерфейсы eth0 и eth1 получили адреса 172.16.20.1/25 и 172.16.20.129/25, а eth2 — 64.100.1.1/24. После write memory конфигурация записана в /etc/frr/frr.conf.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4-005"/>
          <w:p>
            <w:pPr>
              <w:pStyle w:val="Compact"/>
              <w:jc w:val="center"/>
            </w:pPr>
            <w:r>
              <w:drawing>
                <wp:inline>
                  <wp:extent cx="5067300" cy="3025253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025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 FRR интерфейсы eth0 и eth1 получили адреса 172</w:t>
            </w:r>
          </w:p>
          <w:bookmarkEnd w:id="35"/>
        </w:tc>
      </w:tr>
    </w:tbl>
    <w:bookmarkEnd w:id="36"/>
    <w:bookmarkStart w:id="41" w:name="X9154438e7396c0774d3b8e5a5d1bb1c7e3412aa"/>
    <w:p>
      <w:pPr>
        <w:pStyle w:val="Heading2"/>
      </w:pPr>
      <w:r>
        <w:t xml:space="preserve">4.6 Команда show running-config перечисляет три настроенных интерфейса FRR и имя msk-ndbaranov-gw-01</w:t>
      </w:r>
    </w:p>
    <w:p>
      <w:pPr>
        <w:pStyle w:val="FirstParagraph"/>
      </w:pPr>
      <w:r>
        <w:t xml:space="preserve">Команда show running-config перечисляет три настроенных интерфейса FRR и имя msk-ndbaranov-gw-01. По этому выводу проверено, что каждая IPv4-подсеть привязана к своему порту.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4-006"/>
          <w:p>
            <w:pPr>
              <w:pStyle w:val="Compact"/>
              <w:jc w:val="center"/>
            </w:pPr>
            <w:r>
              <w:drawing>
                <wp:inline>
                  <wp:extent cx="5067300" cy="3232587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06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325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Команда show running-config перечисляет три настроенных интерфейса FRR и имя msk-ndbaranov-gw-01</w:t>
            </w:r>
          </w:p>
          <w:bookmarkEnd w:id="40"/>
        </w:tc>
      </w:tr>
    </w:tbl>
    <w:bookmarkEnd w:id="41"/>
    <w:bookmarkStart w:id="46" w:name="X5bd058e21ebd81998801a3022d381be3fdbfb0d"/>
    <w:p>
      <w:pPr>
        <w:pStyle w:val="Heading2"/>
      </w:pPr>
      <w:r>
        <w:t xml:space="preserve">4.7 В show interface brief рабочие eth0, eth1 и eth2 имеют состояние up и ожидаемые IPv4-адреса</w:t>
      </w:r>
    </w:p>
    <w:p>
      <w:pPr>
        <w:pStyle w:val="FirstParagraph"/>
      </w:pPr>
      <w:r>
        <w:t xml:space="preserve">В show interface brief рабочие eth0, eth1 и eth2 имеют состояние up и ожидаемые IPv4-адреса. Эта таблица удобна для одновременной проверки линков и адресного плана.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4-007"/>
          <w:p>
            <w:pPr>
              <w:pStyle w:val="Compact"/>
              <w:jc w:val="center"/>
            </w:pPr>
            <w:r>
              <w:drawing>
                <wp:inline>
                  <wp:extent cx="5067300" cy="3186026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07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1860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 show interface brief рабочие eth0, eth1 и eth2 имеют состояние up и ожидаемые IPv4-адреса</w:t>
            </w:r>
          </w:p>
          <w:bookmarkEnd w:id="45"/>
        </w:tc>
      </w:tr>
    </w:tbl>
    <w:bookmarkEnd w:id="46"/>
    <w:bookmarkStart w:id="51" w:name="X384c58d07ffd0f73ba3f35eae294e7f51b42776"/>
    <w:p>
      <w:pPr>
        <w:pStyle w:val="Heading2"/>
      </w:pPr>
      <w:r>
        <w:t xml:space="preserve">4.8 С PC1 проверена доступность PC2 и серверного узла</w:t>
      </w:r>
    </w:p>
    <w:p>
      <w:pPr>
        <w:pStyle w:val="FirstParagraph"/>
      </w:pPr>
      <w:r>
        <w:t xml:space="preserve">С PC1 проверена доступность PC2 и серверного узла. Ответы от адресов других подсетей проходят через FRR; traceroute показывает участие шлюза в межсетевой передаче.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4-008"/>
          <w:p>
            <w:pPr>
              <w:pStyle w:val="Compact"/>
              <w:jc w:val="center"/>
            </w:pPr>
            <w:r>
              <w:drawing>
                <wp:inline>
                  <wp:extent cx="5067300" cy="535160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08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53516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 PC1 проверена доступность PC2 и серверного узла</w:t>
            </w:r>
          </w:p>
          <w:bookmarkEnd w:id="50"/>
        </w:tc>
      </w:tr>
    </w:tbl>
    <w:bookmarkEnd w:id="51"/>
    <w:bookmarkStart w:id="56" w:name="Xdb741d7b8e4d87b64149a88d336fac1add1f1fe"/>
    <w:p>
      <w:pPr>
        <w:pStyle w:val="Heading2"/>
      </w:pPr>
      <w:r>
        <w:t xml:space="preserve">4.9 До настройки самостоятельного варианта PC3 не имеет назначенного IPv4-адреса, а в IPv6 присутствует только link-local</w:t>
      </w:r>
    </w:p>
    <w:p>
      <w:pPr>
        <w:pStyle w:val="FirstParagraph"/>
      </w:pPr>
      <w:r>
        <w:t xml:space="preserve">До настройки самостоятельного варианта PC3 не имеет назначенного IPv4-адреса, а в IPv6 присутствует только link-local. Кадр фиксирует исходное состояние нового узла.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4-009"/>
          <w:p>
            <w:pPr>
              <w:pStyle w:val="Compact"/>
              <w:jc w:val="center"/>
            </w:pPr>
            <w:r>
              <w:drawing>
                <wp:inline>
                  <wp:extent cx="5067300" cy="349677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09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4967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До настройки самостоятельного варианта PC3 не имеет назначенного IPv4-адреса, а в IPv6 присутствует только link-local</w:t>
            </w:r>
          </w:p>
          <w:bookmarkEnd w:id="55"/>
        </w:tc>
      </w:tr>
    </w:tbl>
    <w:bookmarkEnd w:id="56"/>
    <w:bookmarkStart w:id="61" w:name="X5000a6cebb0f12b78f05f4cb77e396728487ae1"/>
    <w:p>
      <w:pPr>
        <w:pStyle w:val="Heading2"/>
      </w:pPr>
      <w:r>
        <w:t xml:space="preserve">4.10 На PC4 также показано отсутствие IPv4 и наличие только локального IPv6-адреса</w:t>
      </w:r>
    </w:p>
    <w:p>
      <w:pPr>
        <w:pStyle w:val="FirstParagraph"/>
      </w:pPr>
      <w:r>
        <w:t xml:space="preserve">На PC4 также показано отсутствие IPv4 и наличие только локального IPv6-адреса. Это состояние используется как точка отсчёта перед вводом рассчитанных подсетей.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4-010"/>
          <w:p>
            <w:pPr>
              <w:pStyle w:val="Compact"/>
              <w:jc w:val="center"/>
            </w:pPr>
            <w:r>
              <w:drawing>
                <wp:inline>
                  <wp:extent cx="5067300" cy="3014272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0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014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На PC4 также показано отсутствие IPv4 и наличие только локального IPv6-адреса</w:t>
            </w:r>
          </w:p>
          <w:bookmarkEnd w:id="60"/>
        </w:tc>
      </w:tr>
    </w:tbl>
    <w:bookmarkEnd w:id="61"/>
    <w:bookmarkStart w:id="66" w:name="сервер-настроен-адресами-64"/>
    <w:p>
      <w:pPr>
        <w:pStyle w:val="Heading2"/>
      </w:pPr>
      <w:r>
        <w:t xml:space="preserve">4.11 Сервер настроен адресами 64</w:t>
      </w:r>
    </w:p>
    <w:p>
      <w:pPr>
        <w:pStyle w:val="FirstParagraph"/>
      </w:pPr>
      <w:r>
        <w:t xml:space="preserve">Сервер настроен адресами 64.100.1.10/24 и 2001:db8:c0de:11::a/64. Таким образом, для этого сегмента одновременно подготовлены IPv4 и IPv6.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4-011"/>
          <w:p>
            <w:pPr>
              <w:pStyle w:val="Compact"/>
              <w:jc w:val="center"/>
            </w:pPr>
            <w:r>
              <w:drawing>
                <wp:inline>
                  <wp:extent cx="5067300" cy="4084927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0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4084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Сервер настроен адресами 64</w:t>
            </w:r>
          </w:p>
          <w:bookmarkEnd w:id="65"/>
        </w:tc>
      </w:tr>
    </w:tbl>
    <w:bookmarkEnd w:id="66"/>
    <w:bookmarkStart w:id="71" w:name="Xd483d6640283797cf703c70f5f713caa390b03d"/>
    <w:p>
      <w:pPr>
        <w:pStyle w:val="Heading2"/>
      </w:pPr>
      <w:r>
        <w:t xml:space="preserve">4.12 В VyOS удалена автоматическая IPv4-конфигурация eth0, задано имя маршрутизатора и выполнены commit/save</w:t>
      </w:r>
    </w:p>
    <w:p>
      <w:pPr>
        <w:pStyle w:val="FirstParagraph"/>
      </w:pPr>
      <w:r>
        <w:t xml:space="preserve">В VyOS удалена автоматическая IPv4-конфигурация eth0, задано имя маршрутизатора и выполнены commit/save. На экране показано завершение базовой подготовки устройства.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4-012"/>
          <w:p>
            <w:pPr>
              <w:pStyle w:val="Compact"/>
              <w:jc w:val="center"/>
            </w:pPr>
            <w:r>
              <w:drawing>
                <wp:inline>
                  <wp:extent cx="5067300" cy="3108662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0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1086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 VyOS удалена автоматическая IPv4-конфигурация eth0, задано имя маршрутизатора и выполнены commit/save</w:t>
            </w:r>
          </w:p>
          <w:bookmarkEnd w:id="70"/>
        </w:tc>
      </w:tr>
    </w:tbl>
    <w:bookmarkEnd w:id="71"/>
    <w:bookmarkStart w:id="76" w:name="X69032ad905a84583252852788a9eb3c55e16c52"/>
    <w:p>
      <w:pPr>
        <w:pStyle w:val="Heading2"/>
      </w:pPr>
      <w:r>
        <w:t xml:space="preserve">4.13 Команда compare отображает добавление трёх IPv6-префиксов на eth0–eth2</w:t>
      </w:r>
    </w:p>
    <w:p>
      <w:pPr>
        <w:pStyle w:val="FirstParagraph"/>
      </w:pPr>
      <w:r>
        <w:t xml:space="preserve">Команда compare отображает добавление трёх IPv6-префиксов на eth0–eth2. Перед commit можно проверить соответствие префиксов пользовательским и серверному сегментам.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04-013"/>
          <w:p>
            <w:pPr>
              <w:pStyle w:val="Compact"/>
              <w:jc w:val="center"/>
            </w:pPr>
            <w:r>
              <w:drawing>
                <wp:inline>
                  <wp:extent cx="5067300" cy="3173889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0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173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Команда compare отображает добавление трёх IPv6-префиксов на eth0–eth2</w:t>
            </w:r>
          </w:p>
          <w:bookmarkEnd w:id="75"/>
        </w:tc>
      </w:tr>
    </w:tbl>
    <w:bookmarkEnd w:id="76"/>
    <w:bookmarkStart w:id="81" w:name="Xe78ecbe60914a0379dc5529da353a5e56909792"/>
    <w:p>
      <w:pPr>
        <w:pStyle w:val="Heading2"/>
      </w:pPr>
      <w:r>
        <w:t xml:space="preserve">4.14 После сохранения show interfaces перечисляет IPv6-адреса на каждом Ethernet-интерфейсе VyOS</w:t>
      </w:r>
    </w:p>
    <w:p>
      <w:pPr>
        <w:pStyle w:val="FirstParagraph"/>
      </w:pPr>
      <w:r>
        <w:t xml:space="preserve">После сохранения show interfaces перечисляет IPv6-адреса на каждом Ethernet-интерфейсе VyOS. Наличие интерфейсов в состоянии up подтверждает применение конфигурации.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4-014"/>
          <w:p>
            <w:pPr>
              <w:pStyle w:val="Compact"/>
              <w:jc w:val="center"/>
            </w:pPr>
            <w:r>
              <w:drawing>
                <wp:inline>
                  <wp:extent cx="5067300" cy="3269819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0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698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После сохранения show interfaces перечисляет IPv6-адреса на каждом Ethernet-интерфейсе VyOS</w:t>
            </w:r>
          </w:p>
          <w:bookmarkEnd w:id="80"/>
        </w:tc>
      </w:tr>
    </w:tbl>
    <w:bookmarkEnd w:id="81"/>
    <w:bookmarkStart w:id="86" w:name="Xb79a9422bfd18fe94a73690a101bb4b52246c04"/>
    <w:p>
      <w:pPr>
        <w:pStyle w:val="Heading2"/>
      </w:pPr>
      <w:r>
        <w:t xml:space="preserve">4.15 В Wireshark выделен ARP-обмен в одном из IPv4-сегментов</w:t>
      </w:r>
    </w:p>
    <w:p>
      <w:pPr>
        <w:pStyle w:val="FirstParagraph"/>
      </w:pPr>
      <w:r>
        <w:t xml:space="preserve">В Wireshark выделен ARP-обмен в одном из IPv4-сегментов. Захват показывает, что перед отправкой IP-пакета узел определяет MAC-адрес следующего перехода.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4-015"/>
          <w:p>
            <w:pPr>
              <w:pStyle w:val="Compact"/>
              <w:jc w:val="center"/>
            </w:pPr>
            <w:r>
              <w:drawing>
                <wp:inline>
                  <wp:extent cx="5067300" cy="1352249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0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3522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 Wireshark выделен ARP-обмен в одном из IPv4-сегментов</w:t>
            </w:r>
          </w:p>
          <w:bookmarkEnd w:id="85"/>
        </w:tc>
      </w:tr>
    </w:tbl>
    <w:bookmarkEnd w:id="86"/>
    <w:bookmarkStart w:id="91" w:name="X79997150f8b1e9c06cdbc3283ef4cd125eeeaa7"/>
    <w:p>
      <w:pPr>
        <w:pStyle w:val="Heading2"/>
      </w:pPr>
      <w:r>
        <w:t xml:space="preserve">4.16 Отдельный захват содержит служебные ICMPv6-сообщения: Neighbor Solicitation, Neighbor Advertisement и Router Solicitation/Advertisement</w:t>
      </w:r>
    </w:p>
    <w:p>
      <w:pPr>
        <w:pStyle w:val="FirstParagraph"/>
      </w:pPr>
      <w:r>
        <w:t xml:space="preserve">Отдельный захват содержит служебные ICMPv6-сообщения: Neighbor Solicitation, Neighbor Advertisement и Router Solicitation/Advertisement. По ним узлы обнаруживают соседей и маршрутизатор без ARP.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4-016"/>
          <w:p>
            <w:pPr>
              <w:pStyle w:val="Compact"/>
              <w:jc w:val="center"/>
            </w:pPr>
            <w:r>
              <w:drawing>
                <wp:inline>
                  <wp:extent cx="5067300" cy="1705023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016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7050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Отдельный захват содержит служебные ICMPv6-сообщения: Neighbor Solicitation, Neighbor Advertisement и Router Solicitation/Advertisement</w:t>
            </w:r>
          </w:p>
          <w:bookmarkEnd w:id="90"/>
        </w:tc>
      </w:tr>
    </w:tbl>
    <w:bookmarkEnd w:id="91"/>
    <w:bookmarkStart w:id="96" w:name="Xcbf49b5f5cf05bf2aa164c4f5063ed8af67e8b0"/>
    <w:p>
      <w:pPr>
        <w:pStyle w:val="Heading2"/>
      </w:pPr>
      <w:r>
        <w:t xml:space="preserve">4.17 Для самостоятельной части построена схема с двумя коммутаторами, двумя VPCS и маршрутизатором VyOS</w:t>
      </w:r>
    </w:p>
    <w:p>
      <w:pPr>
        <w:pStyle w:val="FirstParagraph"/>
      </w:pPr>
      <w:r>
        <w:t xml:space="preserve">Для самостоятельной части построена схема с двумя коммутаторами, двумя VPCS и маршрутизатором VyOS. Центральный узел соединяет подсети 10.10.1.96/27 и 10.10.1.16/28.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4-017"/>
          <w:p>
            <w:pPr>
              <w:pStyle w:val="Compact"/>
              <w:jc w:val="center"/>
            </w:pPr>
            <w:r>
              <w:drawing>
                <wp:inline>
                  <wp:extent cx="3638349" cy="495701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017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349" cy="4957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Для самостоятельной части построена схема с двумя коммутаторами, двумя VPCS и маршрутизатором VyOS</w:t>
            </w:r>
          </w:p>
          <w:bookmarkEnd w:id="95"/>
        </w:tc>
      </w:tr>
    </w:tbl>
    <w:bookmarkEnd w:id="96"/>
    <w:bookmarkStart w:id="101" w:name="pc1-получил-10"/>
    <w:p>
      <w:pPr>
        <w:pStyle w:val="Heading2"/>
      </w:pPr>
      <w:r>
        <w:t xml:space="preserve">4.18 PC1 получил 10</w:t>
      </w:r>
    </w:p>
    <w:p>
      <w:pPr>
        <w:pStyle w:val="FirstParagraph"/>
      </w:pPr>
      <w:r>
        <w:t xml:space="preserve">PC1 получил 10.10.1.98/27 со шлюзом 10.10.1.97 и IPv6 2001:db8:1:1::a/64. Адрес находится внутри рассчитанного диапазона .97–.126.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4-018"/>
          <w:p>
            <w:pPr>
              <w:pStyle w:val="Compact"/>
              <w:jc w:val="center"/>
            </w:pPr>
            <w:r>
              <w:drawing>
                <wp:inline>
                  <wp:extent cx="5067300" cy="3397467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018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3974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PC1 получил 10</w:t>
            </w:r>
          </w:p>
          <w:bookmarkEnd w:id="100"/>
        </w:tc>
      </w:tr>
    </w:tbl>
    <w:bookmarkEnd w:id="101"/>
    <w:bookmarkStart w:id="106" w:name="pc2-настроен-как-10"/>
    <w:p>
      <w:pPr>
        <w:pStyle w:val="Heading2"/>
      </w:pPr>
      <w:r>
        <w:t xml:space="preserve">4.19 PC2 настроен как 10</w:t>
      </w:r>
    </w:p>
    <w:p>
      <w:pPr>
        <w:pStyle w:val="FirstParagraph"/>
      </w:pPr>
      <w:r>
        <w:t xml:space="preserve">PC2 настроен как 10.10.1.18/28 со шлюзом 10.10.1.17 и адресом 2001:db8:1:4::a/64. Значения соответствуют второй подсети с broadcast 10.10.1.31.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04-019"/>
          <w:p>
            <w:pPr>
              <w:pStyle w:val="Compact"/>
              <w:jc w:val="center"/>
            </w:pPr>
            <w:r>
              <w:drawing>
                <wp:inline>
                  <wp:extent cx="5067300" cy="3310982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image/019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310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PC2 настроен как 10</w:t>
            </w:r>
          </w:p>
          <w:bookmarkEnd w:id="105"/>
        </w:tc>
      </w:tr>
    </w:tbl>
    <w:bookmarkEnd w:id="106"/>
    <w:bookmarkStart w:id="111" w:name="Xb3ddb469c7a0ab3a156a88b0a9e91ff7754357a"/>
    <w:p>
      <w:pPr>
        <w:pStyle w:val="Heading2"/>
      </w:pPr>
      <w:r>
        <w:t xml:space="preserve">4.20 Команда compare в VyOS показывает адреса шлюзов 10</w:t>
      </w:r>
    </w:p>
    <w:p>
      <w:pPr>
        <w:pStyle w:val="FirstParagraph"/>
      </w:pPr>
      <w:r>
        <w:t xml:space="preserve">Команда compare в VyOS показывает адреса шлюзов 10.10.1.97/27 и 10.10.1.17/28 вместе с двумя IPv6-префиксами. Все изменения собраны в одном наборе до commit.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4-020"/>
          <w:p>
            <w:pPr>
              <w:pStyle w:val="Compact"/>
              <w:jc w:val="center"/>
            </w:pPr>
            <w:r>
              <w:drawing>
                <wp:inline>
                  <wp:extent cx="5067300" cy="320396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020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03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Команда compare в VyOS показывает адреса шлюзов 10</w:t>
            </w:r>
          </w:p>
          <w:bookmarkEnd w:id="110"/>
        </w:tc>
      </w:tr>
    </w:tbl>
    <w:bookmarkEnd w:id="111"/>
    <w:bookmarkStart w:id="116" w:name="X99c366c7674ba254c37d6d156daeeb24778d1a9"/>
    <w:p>
      <w:pPr>
        <w:pStyle w:val="Heading2"/>
      </w:pPr>
      <w:r>
        <w:t xml:space="preserve">4.21 После commit/save show interfaces подтверждает адреса на eth0 и eth1 и их состояние up</w:t>
      </w:r>
    </w:p>
    <w:p>
      <w:pPr>
        <w:pStyle w:val="FirstParagraph"/>
      </w:pPr>
      <w:r>
        <w:t xml:space="preserve">После commit/save show interfaces подтверждает адреса на eth0 и eth1 и их состояние up. Итоговый вывод связывает каждый пользовательский сегмент со своим шлюзом.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4-021"/>
          <w:p>
            <w:pPr>
              <w:pStyle w:val="Compact"/>
              <w:jc w:val="center"/>
            </w:pPr>
            <w:r>
              <w:drawing>
                <wp:inline>
                  <wp:extent cx="5067300" cy="3475478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02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475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После commit/save show interfaces подтверждает адреса на eth0 и eth1 и их состояние up</w:t>
            </w:r>
          </w:p>
          <w:bookmarkEnd w:id="115"/>
        </w:tc>
      </w:tr>
    </w:tbl>
    <w:bookmarkEnd w:id="116"/>
    <w:bookmarkEnd w:id="117"/>
    <w:bookmarkStart w:id="11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Цель работы достигнута. Распределить адресное пространство и настроить маршрутизацию IPv4/IPv6 между локальными подсетями Полученные результаты подтверждают работоспособность собранной схемы и корректность выполненной настройки.</w:t>
      </w:r>
    </w:p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4</dc:title>
  <dc:creator>Баранов Никита Дмитриевич</dc:creator>
  <dc:language>ru-RU</dc:language>
  <cp:keywords/>
  <dcterms:created xsi:type="dcterms:W3CDTF">2026-09-14T13:02:18Z</dcterms:created>
  <dcterms:modified xsi:type="dcterms:W3CDTF">2026-09-14T13:02:18Z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Двойной стек IPv4 и IPv6</vt:lpwstr>
  </property>
  <property fmtid="{D5CDD505-2E9C-101B-9397-08002B2CF9AE}" pid="18" name="toc-title">
    <vt:lpwstr>Содержание</vt:lpwstr>
  </property>
</Properties>
</file>