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117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6</w:t>
      </w:r>
    </w:p>
    <w:p>
      <w:pPr>
        <w:pStyle w:val="Subtitle"/>
      </w:pPr>
      <w:r>
        <w:t xml:space="preserve">Динамическая маршрутизация RIP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RIP/RIPng и настроить обмен маршрутами в сетях IPv4 и IPv6.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Собрана многомаршрутизаторная топология и составлен план адресации.</w:t>
      </w:r>
    </w:p>
    <w:p>
      <w:pPr>
        <w:pStyle w:val="Compact"/>
        <w:numPr>
          <w:ilvl w:val="0"/>
          <w:numId w:val="1001"/>
        </w:numPr>
      </w:pPr>
      <w:r>
        <w:t xml:space="preserve">Интерфейсам четырёх маршрутизаторов назначены адреса транзитных и пользовательских сетей.</w:t>
      </w:r>
    </w:p>
    <w:p>
      <w:pPr>
        <w:pStyle w:val="Compact"/>
        <w:numPr>
          <w:ilvl w:val="0"/>
          <w:numId w:val="1001"/>
        </w:numPr>
      </w:pPr>
      <w:r>
        <w:t xml:space="preserve">На маршрутизаторах FRR включён router rip version 2 и объявлены подключённые интерфейсы.</w:t>
      </w:r>
    </w:p>
    <w:p>
      <w:pPr>
        <w:pStyle w:val="Compact"/>
        <w:numPr>
          <w:ilvl w:val="0"/>
          <w:numId w:val="1001"/>
        </w:numPr>
      </w:pPr>
      <w:r>
        <w:t xml:space="preserve">Таблица show ip route rip содержит сети, полученные от соседей.</w:t>
      </w:r>
    </w:p>
    <w:p>
      <w:pPr>
        <w:pStyle w:val="Compact"/>
        <w:numPr>
          <w:ilvl w:val="0"/>
          <w:numId w:val="1001"/>
        </w:numPr>
      </w:pPr>
      <w:r>
        <w:t xml:space="preserve">В Wireshark исследованы RIPv2 Response на 224.0.0.9.</w:t>
      </w:r>
    </w:p>
    <w:p>
      <w:pPr>
        <w:pStyle w:val="Compact"/>
        <w:numPr>
          <w:ilvl w:val="0"/>
          <w:numId w:val="1001"/>
        </w:numPr>
      </w:pPr>
      <w:r>
        <w:t xml:space="preserve">Для IPv6 включён RIPng, изучены маршруты и multicast ff02::9.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Самостоятельная топология адресована, маршруты распространились, конечная связность проверена.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DHCP выдаёт клиентам сетевые параметры. В IPv6 рассылка Router Advertisement сообщает префикс и маршрут, а DHCPv6 может передавать дополнительные параметры.</w:t>
      </w:r>
    </w:p>
    <w:bookmarkEnd w:id="11"/>
    <w:bookmarkStart w:id="127" w:name="выполнение-работы"/>
    <w:p>
      <w:pPr>
        <w:pStyle w:val="Heading1"/>
      </w:pPr>
      <w:r>
        <w:t xml:space="preserve">4. Выполнение работы</w:t>
      </w:r>
    </w:p>
    <w:bookmarkStart w:id="16" w:name="X951f1470ba71f8c6b67e6962a01537fe9f82772"/>
    <w:p>
      <w:pPr>
        <w:pStyle w:val="Heading2"/>
      </w:pPr>
      <w:r>
        <w:t xml:space="preserve">4.1 В GNS3 построено кольцо из четырёх маршрутизаторов FRR с двумя конечными сетями</w:t>
      </w:r>
    </w:p>
    <w:p>
      <w:pPr>
        <w:pStyle w:val="FirstParagraph"/>
      </w:pPr>
      <w:r>
        <w:t xml:space="preserve">В GNS3 построено кольцо из четырёх маршрутизаторов FRR с двумя конечными сетями. Такая связность даёт несколько направлений распространения RIP-маршрутов.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6-001"/>
          <w:p>
            <w:pPr>
              <w:pStyle w:val="Compact"/>
              <w:jc w:val="center"/>
            </w:pPr>
            <w:r>
              <w:drawing>
                <wp:inline>
                  <wp:extent cx="4215865" cy="319558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5865" cy="3195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 GNS3 построено кольцо из четырёх маршрутизаторов FRR с двумя конечными сетями</w:t>
            </w:r>
          </w:p>
          <w:bookmarkEnd w:id="15"/>
        </w:tc>
      </w:tr>
    </w:tbl>
    <w:bookmarkEnd w:id="16"/>
    <w:bookmarkStart w:id="21" w:name="на-pc1-и-pc2-заданы-адреса-10"/>
    <w:p>
      <w:pPr>
        <w:pStyle w:val="Heading2"/>
      </w:pPr>
      <w:r>
        <w:t xml:space="preserve">4.2 На PC1 и PC2 заданы адреса 10</w:t>
      </w:r>
    </w:p>
    <w:p>
      <w:pPr>
        <w:pStyle w:val="FirstParagraph"/>
      </w:pPr>
      <w:r>
        <w:t xml:space="preserve">На PC1 и PC2 заданы адреса 10.10.10.10/24 и 10.10.11.10/24 с соответствующими шлюзами. Два окна show ip подтверждают исходные параметры крайних подсетей.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6-002"/>
          <w:p>
            <w:pPr>
              <w:pStyle w:val="Compact"/>
              <w:jc w:val="center"/>
            </w:pPr>
            <w:r>
              <w:drawing>
                <wp:inline>
                  <wp:extent cx="5067300" cy="903755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9037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 PC1 и PC2 заданы адреса 10</w:t>
            </w:r>
          </w:p>
          <w:bookmarkEnd w:id="20"/>
        </w:tc>
      </w:tr>
    </w:tbl>
    <w:bookmarkEnd w:id="21"/>
    <w:bookmarkStart w:id="26" w:name="Xaf4a7fba40700f32bfef8ec8be2c739c7d5f5fe"/>
    <w:p>
      <w:pPr>
        <w:pStyle w:val="Heading2"/>
      </w:pPr>
      <w:r>
        <w:t xml:space="preserve">4.3 На первом FRR интерфейсы получили адреса 10</w:t>
      </w:r>
    </w:p>
    <w:p>
      <w:pPr>
        <w:pStyle w:val="FirstParagraph"/>
      </w:pPr>
      <w:r>
        <w:t xml:space="preserve">На первом FRR интерфейсы получили адреса 10.0.10.1/24, 10.0.1.1/24 и 10.0.4.2/24. Таблица show interface brief показывает все три соединения в состоянии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6-003"/>
          <w:p>
            <w:pPr>
              <w:pStyle w:val="Compact"/>
              <w:jc w:val="center"/>
            </w:pPr>
            <w:r>
              <w:drawing>
                <wp:inline>
                  <wp:extent cx="5067300" cy="316318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63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 первом FRR интерфейсы получили адреса 10</w:t>
            </w:r>
          </w:p>
          <w:bookmarkEnd w:id="25"/>
        </w:tc>
      </w:tr>
    </w:tbl>
    <w:bookmarkEnd w:id="26"/>
    <w:bookmarkStart w:id="31" w:name="второй-маршрутизатор-использует-10"/>
    <w:p>
      <w:pPr>
        <w:pStyle w:val="Heading2"/>
      </w:pPr>
      <w:r>
        <w:t xml:space="preserve">4.4 Второй маршрутизатор использует 10</w:t>
      </w:r>
    </w:p>
    <w:p>
      <w:pPr>
        <w:pStyle w:val="FirstParagraph"/>
      </w:pPr>
      <w:r>
        <w:t xml:space="preserve">Второй маршрутизатор использует 10.0.1.2/24 и 10.0.2.1/24 на транзитных линиях. Сохранённый вывод фиксирует непрерывность адресного плана между соседями.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6-004"/>
          <w:p>
            <w:pPr>
              <w:pStyle w:val="Compact"/>
              <w:jc w:val="center"/>
            </w:pPr>
            <w:r>
              <w:drawing>
                <wp:inline>
                  <wp:extent cx="5067300" cy="322578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25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Второй маршрутизатор использует 10</w:t>
            </w:r>
          </w:p>
          <w:bookmarkEnd w:id="30"/>
        </w:tc>
      </w:tr>
    </w:tbl>
    <w:bookmarkEnd w:id="31"/>
    <w:bookmarkStart w:id="36" w:name="четвёртый-frr-настроен-адресами-10"/>
    <w:p>
      <w:pPr>
        <w:pStyle w:val="Heading2"/>
      </w:pPr>
      <w:r>
        <w:t xml:space="preserve">4.5 Четвёртый FRR настроен адресами 10</w:t>
      </w:r>
    </w:p>
    <w:p>
      <w:pPr>
        <w:pStyle w:val="FirstParagraph"/>
      </w:pPr>
      <w:r>
        <w:t xml:space="preserve">Четвёртый FRR настроен адресами 10.0.3.2/24 и 10.0.4.1/24. Оба интерфейса подняты, поэтому нижняя ветвь кольца готова к обмену маршрутами.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6-005"/>
          <w:p>
            <w:pPr>
              <w:pStyle w:val="Compact"/>
              <w:jc w:val="center"/>
            </w:pPr>
            <w:r>
              <w:drawing>
                <wp:inline>
                  <wp:extent cx="5067300" cy="323726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37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Четвёртый FRR настроен адресами 10</w:t>
            </w:r>
          </w:p>
          <w:bookmarkEnd w:id="35"/>
        </w:tc>
      </w:tr>
    </w:tbl>
    <w:bookmarkEnd w:id="36"/>
    <w:bookmarkStart w:id="41" w:name="на-третьем-маршрутизаторе-видны-сети-10"/>
    <w:p>
      <w:pPr>
        <w:pStyle w:val="Heading2"/>
      </w:pPr>
      <w:r>
        <w:t xml:space="preserve">4.6 На третьем маршрутизаторе видны сети 10</w:t>
      </w:r>
    </w:p>
    <w:p>
      <w:pPr>
        <w:pStyle w:val="FirstParagraph"/>
      </w:pPr>
      <w:r>
        <w:t xml:space="preserve">На третьем маршрутизаторе видны сети 10.0.2.2/24, 10.0.3.1/24 и пользовательский сегмент. Это узел, через который RIP достигает второй конечной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6-006"/>
          <w:p>
            <w:pPr>
              <w:pStyle w:val="Compact"/>
              <w:jc w:val="center"/>
            </w:pPr>
            <w:r>
              <w:drawing>
                <wp:inline>
                  <wp:extent cx="5067300" cy="322749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2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 третьем маршрутизаторе видны сети 10</w:t>
            </w:r>
          </w:p>
          <w:bookmarkEnd w:id="40"/>
        </w:tc>
      </w:tr>
    </w:tbl>
    <w:bookmarkEnd w:id="41"/>
    <w:bookmarkStart w:id="46" w:name="Xa2bc813cf19801d70a0f025a2ff50454b3f65fd"/>
    <w:p>
      <w:pPr>
        <w:pStyle w:val="Heading2"/>
      </w:pPr>
      <w:r>
        <w:t xml:space="preserve">4.7 Для двух VPCS дополнительно заданы IPv6-адреса 2001:db8:10::a/64 и 2001:db8:11::a/64</w:t>
      </w:r>
    </w:p>
    <w:p>
      <w:pPr>
        <w:pStyle w:val="FirstParagraph"/>
      </w:pPr>
      <w:r>
        <w:t xml:space="preserve">Для двух VPCS дополнительно заданы IPv6-адреса 2001:db8:10::a/64 и 2001:db8:11::a/64. Команда show ipv6 позволяет сверить глобальные и link-local 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6-007"/>
          <w:p>
            <w:pPr>
              <w:pStyle w:val="Compact"/>
              <w:jc w:val="center"/>
            </w:pPr>
            <w:r>
              <w:drawing>
                <wp:inline>
                  <wp:extent cx="5067300" cy="667586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675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Для двух VPCS дополнительно заданы IPv6-адреса 2001:db8:10::a/64 и 2001:db8:11::a/64</w:t>
            </w:r>
          </w:p>
          <w:bookmarkEnd w:id="45"/>
        </w:tc>
      </w:tr>
    </w:tbl>
    <w:bookmarkEnd w:id="46"/>
    <w:bookmarkStart w:id="51" w:name="X146ea1b4201ff651ff8c00996504f1cdc58a74c"/>
    <w:p>
      <w:pPr>
        <w:pStyle w:val="Heading2"/>
      </w:pPr>
      <w:r>
        <w:t xml:space="preserve">4.8 На FRR-4 в краткой таблице одновременно показаны IPv4 и IPv6 на транзитных интерфейсах</w:t>
      </w:r>
    </w:p>
    <w:p>
      <w:pPr>
        <w:pStyle w:val="FirstParagraph"/>
      </w:pPr>
      <w:r>
        <w:t xml:space="preserve">На FRR-4 в краткой таблице одновременно показаны IPv4 и IPv6 на транзитных интерфейсах. Этот вывод проверяет готовность устройства к запуску RIP и RIPng.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6-008"/>
          <w:p>
            <w:pPr>
              <w:pStyle w:val="Compact"/>
              <w:jc w:val="center"/>
            </w:pPr>
            <w:r>
              <w:drawing>
                <wp:inline>
                  <wp:extent cx="5067300" cy="338469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84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 FRR-4 в краткой таблице одновременно показаны IPv4 и IPv6 на транзитных интерфейсах</w:t>
            </w:r>
          </w:p>
          <w:bookmarkEnd w:id="50"/>
        </w:tc>
      </w:tr>
    </w:tbl>
    <w:bookmarkEnd w:id="51"/>
    <w:bookmarkStart w:id="56" w:name="X0ed29552bb20fd987411ecbe12fabb009f8e033"/>
    <w:p>
      <w:pPr>
        <w:pStyle w:val="Heading2"/>
      </w:pPr>
      <w:r>
        <w:t xml:space="preserve">4.9 В конфигурации FRR включён router rip version 2 и объявлены eth0 и eth1</w:t>
      </w:r>
    </w:p>
    <w:p>
      <w:pPr>
        <w:pStyle w:val="FirstParagraph"/>
      </w:pPr>
      <w:r>
        <w:t xml:space="preserve">В конфигурации FRR включён router rip version 2 и объявлены eth0 и eth1. Команда write memory сохраняет процесс маршрутизации и список участвующих интерфейсов.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6-009"/>
          <w:p>
            <w:pPr>
              <w:pStyle w:val="Compact"/>
              <w:jc w:val="center"/>
            </w:pPr>
            <w:r>
              <w:drawing>
                <wp:inline>
                  <wp:extent cx="5067300" cy="310517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05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 конфигурации FRR включён router rip version 2 и объявлены eth0 и eth1</w:t>
            </w:r>
          </w:p>
          <w:bookmarkEnd w:id="55"/>
        </w:tc>
      </w:tr>
    </w:tbl>
    <w:bookmarkEnd w:id="56"/>
    <w:bookmarkStart w:id="61" w:name="X3103ed9c1d6f7290d7347de0411d591f239fd50"/>
    <w:p>
      <w:pPr>
        <w:pStyle w:val="Heading2"/>
      </w:pPr>
      <w:r>
        <w:t xml:space="preserve">4.10 Команда show ip rip выводит локальные сети, соседние шлюзы, таймеры и источники информации</w:t>
      </w:r>
    </w:p>
    <w:p>
      <w:pPr>
        <w:pStyle w:val="FirstParagraph"/>
      </w:pPr>
      <w:r>
        <w:t xml:space="preserve">Команда show ip rip выводит локальные сети, соседние шлюзы, таймеры и источники информации. Таблица демонстрирует, какие записи процесс RIP уже распространяет.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6-010"/>
          <w:p>
            <w:pPr>
              <w:pStyle w:val="Compact"/>
              <w:jc w:val="center"/>
            </w:pPr>
            <w:r>
              <w:drawing>
                <wp:inline>
                  <wp:extent cx="5067300" cy="427014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270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Команда show ip rip выводит локальные сети, соседние шлюзы, таймеры и источники информации</w:t>
            </w:r>
          </w:p>
          <w:bookmarkEnd w:id="60"/>
        </w:tc>
      </w:tr>
    </w:tbl>
    <w:bookmarkEnd w:id="61"/>
    <w:bookmarkStart w:id="66" w:name="X07b3d95606413101b82c5848c1acee244d4aca8"/>
    <w:p>
      <w:pPr>
        <w:pStyle w:val="Heading2"/>
      </w:pPr>
      <w:r>
        <w:t xml:space="preserve">4.11 Wireshark зарегистрировал RIPv2 Response от маршрутизатора к multicast 224</w:t>
      </w:r>
    </w:p>
    <w:p>
      <w:pPr>
        <w:pStyle w:val="FirstParagraph"/>
      </w:pPr>
      <w:r>
        <w:t xml:space="preserve">Wireshark зарегистрировал RIPv2 Response от маршрутизатора к multicast 224.0.0.9. Повторяющиеся пакеты отражают периодическую рассылку таблицы маршрутов.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6-011"/>
          <w:p>
            <w:pPr>
              <w:pStyle w:val="Compact"/>
              <w:jc w:val="center"/>
            </w:pPr>
            <w:r>
              <w:drawing>
                <wp:inline>
                  <wp:extent cx="5067300" cy="192935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929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Wireshark зарегистрировал RIPv2 Response от маршрутизатора к multicast 224</w:t>
            </w:r>
          </w:p>
          <w:bookmarkEnd w:id="65"/>
        </w:tc>
      </w:tr>
    </w:tbl>
    <w:bookmarkEnd w:id="66"/>
    <w:bookmarkStart w:id="71" w:name="X81ab647dc9af63e8b005c47f65c36118eb5d798"/>
    <w:p>
      <w:pPr>
        <w:pStyle w:val="Heading2"/>
      </w:pPr>
      <w:r>
        <w:t xml:space="preserve">4.12 В другом захвате видны ответы RIP от нескольких адресов транзитного сегмента</w:t>
      </w:r>
    </w:p>
    <w:p>
      <w:pPr>
        <w:pStyle w:val="FirstParagraph"/>
      </w:pPr>
      <w:r>
        <w:t xml:space="preserve">В другом захвате видны ответы RIP от нескольких адресов транзитного сегмента. Это подтверждает двусторонний обмен объявлениями между соседними FRR.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6-012"/>
          <w:p>
            <w:pPr>
              <w:pStyle w:val="Compact"/>
              <w:jc w:val="center"/>
            </w:pPr>
            <w:r>
              <w:drawing>
                <wp:inline>
                  <wp:extent cx="5067300" cy="194276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942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 другом захвате видны ответы RIP от нескольких адресов транзитного сегмента</w:t>
            </w:r>
          </w:p>
          <w:bookmarkEnd w:id="70"/>
        </w:tc>
      </w:tr>
    </w:tbl>
    <w:bookmarkEnd w:id="71"/>
    <w:bookmarkStart w:id="76" w:name="Xc86c04bfcc6053853ab78eb1daa73a18c03d548"/>
    <w:p>
      <w:pPr>
        <w:pStyle w:val="Heading2"/>
      </w:pPr>
      <w:r>
        <w:t xml:space="preserve">4.13 На маршрутизаторе проверена IPv6-таблица и выполнен traceroute до удалённого префикса</w:t>
      </w:r>
    </w:p>
    <w:p>
      <w:pPr>
        <w:pStyle w:val="FirstParagraph"/>
      </w:pPr>
      <w:r>
        <w:t xml:space="preserve">На маршрутизаторе проверена IPv6-таблица и выполнен traceroute до удалённого префикса. В выводе отображаются промежуточные link-local адреса следующего перехода.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6-013"/>
          <w:p>
            <w:pPr>
              <w:pStyle w:val="Compact"/>
              <w:jc w:val="center"/>
            </w:pPr>
            <w:r>
              <w:drawing>
                <wp:inline>
                  <wp:extent cx="5067300" cy="278167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781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 маршрутизаторе проверена IPv6-таблица и выполнен traceroute до удалённого префикса</w:t>
            </w:r>
          </w:p>
          <w:bookmarkEnd w:id="75"/>
        </w:tc>
      </w:tr>
    </w:tbl>
    <w:bookmarkEnd w:id="76"/>
    <w:bookmarkStart w:id="81" w:name="X5b390ce09fd1c027992605dbee21b4be13ef7e8"/>
    <w:p>
      <w:pPr>
        <w:pStyle w:val="Heading2"/>
      </w:pPr>
      <w:r>
        <w:t xml:space="preserve">4.14 Wireshark декодирует RIPng Command Response, отправленный на ff02::9</w:t>
      </w:r>
    </w:p>
    <w:p>
      <w:pPr>
        <w:pStyle w:val="FirstParagraph"/>
      </w:pPr>
      <w:r>
        <w:t xml:space="preserve">Wireshark декодирует RIPng Command Response, отправленный на ff02::9. Поля пакета содержат IPv6-префиксы и метрики, полученные от соседнего маршрутизатора.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6-014"/>
          <w:p>
            <w:pPr>
              <w:pStyle w:val="Compact"/>
              <w:jc w:val="center"/>
            </w:pPr>
            <w:r>
              <w:drawing>
                <wp:inline>
                  <wp:extent cx="5067300" cy="164973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649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Wireshark декодирует RIPng Command Response, отправленный на ff02::9</w:t>
            </w:r>
          </w:p>
          <w:bookmarkEnd w:id="80"/>
        </w:tc>
      </w:tr>
    </w:tbl>
    <w:bookmarkEnd w:id="81"/>
    <w:bookmarkStart w:id="86" w:name="X2e79fec35062f7ff13e5cec8ec569a9f7847343"/>
    <w:p>
      <w:pPr>
        <w:pStyle w:val="Heading2"/>
      </w:pPr>
      <w:r>
        <w:t xml:space="preserve">4.15 Следующий захват показывает периодические RIPng-ответы на другом соединении кольца</w:t>
      </w:r>
    </w:p>
    <w:p>
      <w:pPr>
        <w:pStyle w:val="FirstParagraph"/>
      </w:pPr>
      <w:r>
        <w:t xml:space="preserve">Следующий захват показывает периодические RIPng-ответы на другом соединении кольца. Сравнение источников позволяет увидеть распространение маршрутов по топологии.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6-015"/>
          <w:p>
            <w:pPr>
              <w:pStyle w:val="Compact"/>
              <w:jc w:val="center"/>
            </w:pPr>
            <w:r>
              <w:drawing>
                <wp:inline>
                  <wp:extent cx="5067300" cy="161033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0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610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Следующий захват показывает периодические RIPng-ответы на другом соединении кольца</w:t>
            </w:r>
          </w:p>
          <w:bookmarkEnd w:id="85"/>
        </w:tc>
      </w:tr>
    </w:tbl>
    <w:bookmarkEnd w:id="86"/>
    <w:bookmarkStart w:id="91" w:name="Xe1343245ad3c7c520409aa453559b88f869adb4"/>
    <w:p>
      <w:pPr>
        <w:pStyle w:val="Heading2"/>
      </w:pPr>
      <w:r>
        <w:t xml:space="preserve">4.16 Для самостоятельного варианта собрана топология с четырьмя FRR и двумя VPCS, где между частью маршрутизаторов существуют резервные линии</w:t>
      </w:r>
    </w:p>
    <w:p>
      <w:pPr>
        <w:pStyle w:val="FirstParagraph"/>
      </w:pPr>
      <w:r>
        <w:t xml:space="preserve">Для самостоятельного варианта собрана топология с четырьмя FRR и двумя VPCS, где между частью маршрутизаторов существуют резервные линии. Все активные соединения отмечены зелёным.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6-016"/>
          <w:p>
            <w:pPr>
              <w:pStyle w:val="Compact"/>
              <w:jc w:val="center"/>
            </w:pPr>
            <w:r>
              <w:drawing>
                <wp:inline>
                  <wp:extent cx="4081111" cy="434099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0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1111" cy="4340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Для самостоятельного варианта собрана топология с четырьмя FRR и двумя VPCS, где между частью маршрутизаторов существуют резервные линии</w:t>
            </w:r>
          </w:p>
          <w:bookmarkEnd w:id="90"/>
        </w:tc>
      </w:tr>
    </w:tbl>
    <w:bookmarkEnd w:id="91"/>
    <w:bookmarkStart w:id="96" w:name="pc1-настроен-адресами-10"/>
    <w:p>
      <w:pPr>
        <w:pStyle w:val="Heading2"/>
      </w:pPr>
      <w:r>
        <w:t xml:space="preserve">4.17 PC1 настроен адресами 10</w:t>
      </w:r>
    </w:p>
    <w:p>
      <w:pPr>
        <w:pStyle w:val="FirstParagraph"/>
      </w:pPr>
      <w:r>
        <w:t xml:space="preserve">PC1 настроен адресами 10.10.1.98/27 и 2001:db8:1:1::a/64 со шлюзом 10.10.1.97. Параметры соответствуют первой пользовательской подсети варианта.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6-017"/>
          <w:p>
            <w:pPr>
              <w:pStyle w:val="Compact"/>
              <w:jc w:val="center"/>
            </w:pPr>
            <w:r>
              <w:drawing>
                <wp:inline>
                  <wp:extent cx="5067300" cy="483399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0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833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PC1 настроен адресами 10</w:t>
            </w:r>
          </w:p>
          <w:bookmarkEnd w:id="95"/>
        </w:tc>
      </w:tr>
    </w:tbl>
    <w:bookmarkEnd w:id="96"/>
    <w:bookmarkStart w:id="101" w:name="pc2-получил-10"/>
    <w:p>
      <w:pPr>
        <w:pStyle w:val="Heading2"/>
      </w:pPr>
      <w:r>
        <w:t xml:space="preserve">4.18 PC2 получил 10</w:t>
      </w:r>
    </w:p>
    <w:p>
      <w:pPr>
        <w:pStyle w:val="FirstParagraph"/>
      </w:pPr>
      <w:r>
        <w:t xml:space="preserve">PC2 получил 10.10.1.66/28 и 2001:db8:1:6::a/64 со шлюзом 10.10.1.65. Так конечные узлы находятся в разных IPv4- и IPv6-сегментах.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6-018"/>
          <w:p>
            <w:pPr>
              <w:pStyle w:val="Compact"/>
              <w:jc w:val="center"/>
            </w:pPr>
            <w:r>
              <w:drawing>
                <wp:inline>
                  <wp:extent cx="4966635" cy="4918509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0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6635" cy="4918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PC2 получил 10</w:t>
            </w:r>
          </w:p>
          <w:bookmarkEnd w:id="100"/>
        </w:tc>
      </w:tr>
    </w:tbl>
    <w:bookmarkEnd w:id="101"/>
    <w:bookmarkStart w:id="106" w:name="X170346e06956ed42cc3c387c9886baff9814b85"/>
    <w:p>
      <w:pPr>
        <w:pStyle w:val="Heading2"/>
      </w:pPr>
      <w:r>
        <w:t xml:space="preserve">4.19 На первом FRR show interface brief перечисляет пользовательский интерфейс и три транзитных канала с IPv4/IPv6</w:t>
      </w:r>
    </w:p>
    <w:p>
      <w:pPr>
        <w:pStyle w:val="FirstParagraph"/>
      </w:pPr>
      <w:r>
        <w:t xml:space="preserve">На первом FRR show interface brief перечисляет пользовательский интерфейс и три транзитных канала с IPv4/IPv6. Все задействованные порты находятся в состоянии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6-019"/>
          <w:p>
            <w:pPr>
              <w:pStyle w:val="Compact"/>
              <w:jc w:val="center"/>
            </w:pPr>
            <w:r>
              <w:drawing>
                <wp:inline>
                  <wp:extent cx="5067300" cy="313543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019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3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 первом FRR show interface brief перечисляет пользовательский интерфейс и три транзитных канала с IPv4/IPv6</w:t>
            </w:r>
          </w:p>
          <w:bookmarkEnd w:id="105"/>
        </w:tc>
      </w:tr>
    </w:tbl>
    <w:bookmarkEnd w:id="106"/>
    <w:bookmarkStart w:id="111" w:name="Xf9cf2393369a8bf7fdfd73ce0988929e1e7dc5e"/>
    <w:p>
      <w:pPr>
        <w:pStyle w:val="Heading2"/>
      </w:pPr>
      <w:r>
        <w:t xml:space="preserve">4.20 После запуска маршрутизации рабочая схема показана с зелёными соединениями по основным и резервным путям</w:t>
      </w:r>
    </w:p>
    <w:p>
      <w:pPr>
        <w:pStyle w:val="FirstParagraph"/>
      </w:pPr>
      <w:r>
        <w:t xml:space="preserve">После запуска маршрутизации рабочая схема показана с зелёными соединениями по основным и резервным путям. Это итоговое состояние стенда перед проверкой доступности.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6-020"/>
          <w:p>
            <w:pPr>
              <w:pStyle w:val="Compact"/>
              <w:jc w:val="center"/>
            </w:pPr>
            <w:r>
              <w:drawing>
                <wp:inline>
                  <wp:extent cx="3773103" cy="3484345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0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3103" cy="3484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После запуска маршрутизации рабочая схема показана с зелёными соединениями по основным и резервным путям</w:t>
            </w:r>
          </w:p>
          <w:bookmarkEnd w:id="110"/>
        </w:tc>
      </w:tr>
    </w:tbl>
    <w:bookmarkEnd w:id="111"/>
    <w:bookmarkStart w:id="116" w:name="X5bbd21d4b12bf74924112bc2b510401b7ae86fd"/>
    <w:p>
      <w:pPr>
        <w:pStyle w:val="Heading2"/>
      </w:pPr>
      <w:r>
        <w:t xml:space="preserve">4.21 С маршрутизатора выполнены ping удалённых адресов 10</w:t>
      </w:r>
    </w:p>
    <w:p>
      <w:pPr>
        <w:pStyle w:val="FirstParagraph"/>
      </w:pPr>
      <w:r>
        <w:t xml:space="preserve">С маршрутизатора выполнены ping удалённых адресов 10.10.1.66 и 10.10.1.10; ответы приходят без потерь. Таким способом проверено прохождение IPv4 через несколько RIP-узлов.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6-021"/>
          <w:p>
            <w:pPr>
              <w:pStyle w:val="Compact"/>
              <w:jc w:val="center"/>
            </w:pPr>
            <w:r>
              <w:drawing>
                <wp:inline>
                  <wp:extent cx="5067300" cy="3329759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02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29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 маршрутизатора выполнены ping удалённых адресов 10</w:t>
            </w:r>
          </w:p>
          <w:bookmarkEnd w:id="115"/>
        </w:tc>
      </w:tr>
    </w:tbl>
    <w:bookmarkEnd w:id="116"/>
    <w:bookmarkStart w:id="121" w:name="X943a6da12dda8c18559b2d8104bc4497c5c67ad"/>
    <w:p>
      <w:pPr>
        <w:pStyle w:val="Heading2"/>
      </w:pPr>
      <w:r>
        <w:t xml:space="preserve">4.22 Команда show ip route rip содержит удалённые подсети с кодом R, next hop и метрикой</w:t>
      </w:r>
    </w:p>
    <w:p>
      <w:pPr>
        <w:pStyle w:val="FirstParagraph"/>
      </w:pPr>
      <w:r>
        <w:t xml:space="preserve">Команда show ip route rip содержит удалённые подсети с кодом R, next hop и метрикой. Несколько путей отражают выбранные RIP-направления через транзитные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6-022"/>
          <w:p>
            <w:pPr>
              <w:pStyle w:val="Compact"/>
              <w:jc w:val="center"/>
            </w:pPr>
            <w:r>
              <w:drawing>
                <wp:inline>
                  <wp:extent cx="5067300" cy="1724506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022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724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Команда show ip route rip содержит удалённые подсети с кодом R, next hop и метрикой</w:t>
            </w:r>
          </w:p>
          <w:bookmarkEnd w:id="120"/>
        </w:tc>
      </w:tr>
    </w:tbl>
    <w:bookmarkEnd w:id="121"/>
    <w:bookmarkStart w:id="126" w:name="Xbb7fd1b3b753e889b43efc30d925308cd25bfb2"/>
    <w:p>
      <w:pPr>
        <w:pStyle w:val="Heading2"/>
      </w:pPr>
      <w:r>
        <w:t xml:space="preserve">4.23 В show ipv6 ripng перечислены локальные и полученные IPv6-префиксы, интерфейсы и число переходов</w:t>
      </w:r>
    </w:p>
    <w:p>
      <w:pPr>
        <w:pStyle w:val="FirstParagraph"/>
      </w:pPr>
      <w:r>
        <w:t xml:space="preserve">В show ipv6 ripng перечислены локальные и полученные IPv6-префиксы, интерфейсы и число переходов. Таблица подтверждает распространение маршрутов RIPng до крайних сегментов.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6-023"/>
          <w:p>
            <w:pPr>
              <w:pStyle w:val="Compact"/>
              <w:jc w:val="center"/>
            </w:pPr>
            <w:r>
              <w:drawing>
                <wp:inline>
                  <wp:extent cx="5067300" cy="329533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023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95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 show ipv6 ripng перечислены локальные и полученные IPv6-префиксы, интерфейсы и число переходов</w:t>
            </w:r>
          </w:p>
          <w:bookmarkEnd w:id="125"/>
        </w:tc>
      </w:tr>
    </w:tbl>
    <w:bookmarkEnd w:id="126"/>
    <w:bookmarkEnd w:id="127"/>
    <w:bookmarkStart w:id="1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Изучить RIP/RIPng и настроить обмен маршрутами в сетях IPv4 и IPv6 Полученные результаты подтверждают работоспособность собранной схемы и корректность выполненной настройки.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2" Target="media/rId1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6</dc:title>
  <dc:creator>Баранов Никита Дмитриевич</dc:creator>
  <dc:language>ru-RU</dc:language>
  <cp:keywords/>
  <dcterms:created xsi:type="dcterms:W3CDTF">2026-09-14T13:07:59Z</dcterms:created>
  <dcterms:modified xsi:type="dcterms:W3CDTF">2026-09-14T13:07:59Z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Динамическая маршрутизация RIP</vt:lpwstr>
  </property>
  <property fmtid="{D5CDD505-2E9C-101B-9397-08002B2CF9AE}" pid="18" name="toc-title">
    <vt:lpwstr>Содержание</vt:lpwstr>
  </property>
</Properties>
</file>