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11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кадры Ethernet и PDU сетевого, транспортного и прикладного уровней TCP/IP.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Командой ipconfig получены параметры активных интерфейсов Windows.</w:t>
      </w:r>
    </w:p>
    <w:p>
      <w:pPr>
        <w:pStyle w:val="Compact"/>
        <w:numPr>
          <w:ilvl w:val="0"/>
          <w:numId w:val="1001"/>
        </w:numPr>
      </w:pPr>
      <w:r>
        <w:t xml:space="preserve">Команда getmac сопоставила интерфейсы и MAC-адреса.</w:t>
      </w:r>
    </w:p>
    <w:p>
      <w:pPr>
        <w:pStyle w:val="Compact"/>
        <w:numPr>
          <w:ilvl w:val="0"/>
          <w:numId w:val="1001"/>
        </w:numPr>
      </w:pPr>
      <w:r>
        <w:t xml:space="preserve">В Wireshark выделены ARP-запросы и ответы; разобраны поля Ethernet II и ARP.</w:t>
      </w:r>
    </w:p>
    <w:p>
      <w:pPr>
        <w:pStyle w:val="Compact"/>
        <w:numPr>
          <w:ilvl w:val="0"/>
          <w:numId w:val="1001"/>
        </w:numPr>
      </w:pPr>
      <w:r>
        <w:t xml:space="preserve">Исследованы ICMP Echo Request/Reply и вложенные заголовки Ethernet/IP/ICMP.</w:t>
      </w:r>
    </w:p>
    <w:p>
      <w:pPr>
        <w:pStyle w:val="Compact"/>
        <w:numPr>
          <w:ilvl w:val="0"/>
          <w:numId w:val="1001"/>
        </w:numPr>
      </w:pPr>
      <w:r>
        <w:t xml:space="preserve">Для TCP рассмотрены трёхэтапное рукопожатие, номера последовательности и флаги.</w:t>
      </w:r>
    </w:p>
    <w:p>
      <w:pPr>
        <w:pStyle w:val="Compact"/>
        <w:numPr>
          <w:ilvl w:val="0"/>
          <w:numId w:val="1001"/>
        </w:numPr>
      </w:pPr>
      <w:r>
        <w:t xml:space="preserve">Для DNS разобраны запрос, ответ, идентификатор транзакции и ресурсные записи.</w:t>
      </w:r>
    </w:p>
    <w:p>
      <w:pPr>
        <w:pStyle w:val="Compact"/>
        <w:numPr>
          <w:ilvl w:val="0"/>
          <w:numId w:val="1001"/>
        </w:numPr>
      </w:pPr>
      <w:r>
        <w:t xml:space="preserve">Диаграмма потоков показала порядок обмена прикладными данными.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Wireshark перехватывает кадры канального уровня и позволяет сопоставить поля Ethernet, ARP и сетевых протоколов с фактическим обменом между узлами.</w:t>
      </w:r>
    </w:p>
    <w:bookmarkEnd w:id="11"/>
    <w:bookmarkStart w:id="82" w:name="выполнение-работы"/>
    <w:p>
      <w:pPr>
        <w:pStyle w:val="Heading1"/>
      </w:pPr>
      <w:r>
        <w:t xml:space="preserve">4. Выполнение работы</w:t>
      </w:r>
    </w:p>
    <w:bookmarkStart w:id="16" w:name="X64607baa1fe2cec3f735385553ddaa0bb15a8a5"/>
    <w:p>
      <w:pPr>
        <w:pStyle w:val="Heading2"/>
      </w:pPr>
      <w:r>
        <w:t xml:space="preserve">4.1 Команда ipconfig /all выводит параметры сетевых адаптеров Windows, включая IPv4, IPv6, маску и шлюз</w:t>
      </w:r>
    </w:p>
    <w:p>
      <w:pPr>
        <w:pStyle w:val="FirstParagraph"/>
      </w:pPr>
      <w:r>
        <w:t xml:space="preserve">Команда ipconfig /all выводит параметры сетевых адаптеров Windows, включая IPv4, IPv6, маску и шлюз. Для анализа выбран активный интерфейс, а отключённые подключения отделены по Media disconnected.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11-001"/>
          <w:p>
            <w:pPr>
              <w:pStyle w:val="Compact"/>
              <w:jc w:val="center"/>
            </w:pPr>
            <w:r>
              <w:drawing>
                <wp:inline>
                  <wp:extent cx="5067300" cy="5630333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630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Команда ipconfig /all выводит параметры сетевых адаптеров Windows, включая IPv4, IPv6, маску и шлюз</w:t>
            </w:r>
          </w:p>
          <w:bookmarkEnd w:id="15"/>
        </w:tc>
      </w:tr>
    </w:tbl>
    <w:bookmarkEnd w:id="16"/>
    <w:bookmarkStart w:id="21" w:name="X90550600e12d240fa29485d9180b657b6816c27"/>
    <w:p>
      <w:pPr>
        <w:pStyle w:val="Heading2"/>
      </w:pPr>
      <w:r>
        <w:t xml:space="preserve">4.2 Продолжение ipconfig показывает VirtualBox Host-Only Adapter с адресом 192</w:t>
      </w:r>
    </w:p>
    <w:p>
      <w:pPr>
        <w:pStyle w:val="FirstParagraph"/>
      </w:pPr>
      <w:r>
        <w:t xml:space="preserve">Продолжение ipconfig показывает VirtualBox Host-Only Adapter с адресом 192.168.56.1/24 и другие виртуальные интерфейсы. Эти сети необходимо отличать от реального Wi-Fi при выборе источника захвата.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11-002"/>
          <w:p>
            <w:pPr>
              <w:pStyle w:val="Compact"/>
              <w:jc w:val="center"/>
            </w:pPr>
            <w:r>
              <w:drawing>
                <wp:inline>
                  <wp:extent cx="5067300" cy="716883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7168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Продолжение ipconfig показывает VirtualBox Host-Only Adapter с адресом 192</w:t>
            </w:r>
          </w:p>
          <w:bookmarkEnd w:id="20"/>
        </w:tc>
      </w:tr>
    </w:tbl>
    <w:bookmarkEnd w:id="21"/>
    <w:bookmarkStart w:id="26" w:name="Xac6683892f26b12d3133f72a476402779246e40"/>
    <w:p>
      <w:pPr>
        <w:pStyle w:val="Heading2"/>
      </w:pPr>
      <w:r>
        <w:t xml:space="preserve">4.3 В разделе беспроводного адаптера указаны IPv4 172</w:t>
      </w:r>
    </w:p>
    <w:p>
      <w:pPr>
        <w:pStyle w:val="FirstParagraph"/>
      </w:pPr>
      <w:r>
        <w:t xml:space="preserve">В разделе беспроводного адаптера указаны IPv4 172.16.78.195, маска 255.255.254.0, шлюз/DHCP 172.16.78.1 и физический адрес. Именно эти значения затем находятся в пакетах Wireshark.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1-003"/>
          <w:p>
            <w:pPr>
              <w:pStyle w:val="Compact"/>
              <w:jc w:val="center"/>
            </w:pPr>
            <w:r>
              <w:drawing>
                <wp:inline>
                  <wp:extent cx="5067300" cy="441592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41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 разделе беспроводного адаптера указаны IPv4 172</w:t>
            </w:r>
          </w:p>
          <w:bookmarkEnd w:id="25"/>
        </w:tc>
      </w:tr>
    </w:tbl>
    <w:bookmarkEnd w:id="26"/>
    <w:bookmarkStart w:id="31" w:name="X4c17f8d3ffef529a9c258b73c380e22f999e8cd"/>
    <w:p>
      <w:pPr>
        <w:pStyle w:val="Heading2"/>
      </w:pPr>
      <w:r>
        <w:t xml:space="preserve">4.4 Команда getmac сопоставляет названия транспортов Windows и физические MAC-адреса Ethernet, Wi-Fi и VirtualBox</w:t>
      </w:r>
    </w:p>
    <w:p>
      <w:pPr>
        <w:pStyle w:val="FirstParagraph"/>
      </w:pPr>
      <w:r>
        <w:t xml:space="preserve">Команда getmac сопоставляет названия транспортов Windows и физические MAC-адреса Ethernet, Wi-Fi и VirtualBox. Полученное соответствие позволяет определить локальный интерфейс в заголовке Ethernet II.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11-004"/>
          <w:p>
            <w:pPr>
              <w:pStyle w:val="Compact"/>
              <w:jc w:val="center"/>
            </w:pPr>
            <w:r>
              <w:drawing>
                <wp:inline>
                  <wp:extent cx="5067300" cy="147918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79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getmac сопоставляет названия транспортов Windows и физические MAC-адреса Ethernet, Wi-Fi и VirtualBox</w:t>
            </w:r>
          </w:p>
          <w:bookmarkEnd w:id="30"/>
        </w:tc>
      </w:tr>
    </w:tbl>
    <w:bookmarkEnd w:id="31"/>
    <w:bookmarkStart w:id="36" w:name="Xb7069c288248ba07d8f844ce9a09f9e8bd1a8dc"/>
    <w:p>
      <w:pPr>
        <w:pStyle w:val="Heading2"/>
      </w:pPr>
      <w:r>
        <w:t xml:space="preserve">4.5 Фильтр ARP выводит широковещательные запросы и одноадресные ответы в локальной сети</w:t>
      </w:r>
    </w:p>
    <w:p>
      <w:pPr>
        <w:pStyle w:val="FirstParagraph"/>
      </w:pPr>
      <w:r>
        <w:t xml:space="preserve">Фильтр ARP выводит широковещательные запросы и одноадресные ответы в локальной сети. В колонке Info видны формулировки Who has и is at, связывающие IPv4 с MAC.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11-005"/>
          <w:p>
            <w:pPr>
              <w:pStyle w:val="Compact"/>
              <w:jc w:val="center"/>
            </w:pPr>
            <w:r>
              <w:drawing>
                <wp:inline>
                  <wp:extent cx="5067300" cy="204927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04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Фильтр ARP выводит широковещательные запросы и одноадресные ответы в локальной сети</w:t>
            </w:r>
          </w:p>
          <w:bookmarkEnd w:id="35"/>
        </w:tc>
      </w:tr>
    </w:tbl>
    <w:bookmarkEnd w:id="36"/>
    <w:bookmarkStart w:id="41" w:name="X2ad2a6ea935d88eda10b6ef27e7833637e70b70"/>
    <w:p>
      <w:pPr>
        <w:pStyle w:val="Heading2"/>
      </w:pPr>
      <w:r>
        <w:t xml:space="preserve">4.6 В выбранном ARP-запросе раскрыт Ethernet II: адрес назначения широковещательный, а источником является локальный интерфейс</w:t>
      </w:r>
    </w:p>
    <w:p>
      <w:pPr>
        <w:pStyle w:val="FirstParagraph"/>
      </w:pPr>
      <w:r>
        <w:t xml:space="preserve">В выбранном ARP-запросе раскрыт Ethernet II: адрес назначения широковещательный, а источником является локальный интерфейс. Поле EtherType 0x0806 указывает на ARP.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11-006"/>
          <w:p>
            <w:pPr>
              <w:pStyle w:val="Compact"/>
              <w:jc w:val="center"/>
            </w:pPr>
            <w:r>
              <w:drawing>
                <wp:inline>
                  <wp:extent cx="5067300" cy="177033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770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 выбранном ARP-запросе раскрыт Ethernet II: адрес назначения широковещательный, а источником является локальный интерфейс</w:t>
            </w:r>
          </w:p>
          <w:bookmarkEnd w:id="40"/>
        </w:tc>
      </w:tr>
    </w:tbl>
    <w:bookmarkEnd w:id="41"/>
    <w:bookmarkStart w:id="46" w:name="X9d05816411ce58e4b3a500ca79e4e5bf97b9af5"/>
    <w:p>
      <w:pPr>
        <w:pStyle w:val="Heading2"/>
      </w:pPr>
      <w:r>
        <w:t xml:space="preserve">4.7 Для ARP-ответа назначение уже одноадресное</w:t>
      </w:r>
    </w:p>
    <w:p>
      <w:pPr>
        <w:pStyle w:val="FirstParagraph"/>
      </w:pPr>
      <w:r>
        <w:t xml:space="preserve">Для ARP-ответа назначение уже одноадресное. В заголовке можно сопоставить MAC маршрутизатора с его IPv4 172.16.78.1 и увидеть возврат данных запрашивающему узлу.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11-007"/>
          <w:p>
            <w:pPr>
              <w:pStyle w:val="Compact"/>
              <w:jc w:val="center"/>
            </w:pPr>
            <w:r>
              <w:drawing>
                <wp:inline>
                  <wp:extent cx="5067300" cy="167206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672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Для ARP-ответа назначение уже одноадресное</w:t>
            </w:r>
          </w:p>
          <w:bookmarkEnd w:id="45"/>
        </w:tc>
      </w:tr>
    </w:tbl>
    <w:bookmarkEnd w:id="46"/>
    <w:bookmarkStart w:id="51" w:name="X0076bc29f9707b960a7cff75373885593c6a3cb"/>
    <w:p>
      <w:pPr>
        <w:pStyle w:val="Heading2"/>
      </w:pPr>
      <w:r>
        <w:t xml:space="preserve">4.8 Детали ARP Request содержат opcode request, sender MAC/IP и target IP при нулевом target MAC</w:t>
      </w:r>
    </w:p>
    <w:p>
      <w:pPr>
        <w:pStyle w:val="FirstParagraph"/>
      </w:pPr>
      <w:r>
        <w:t xml:space="preserve">Детали ARP Request содержат opcode request, sender MAC/IP и target IP при нулевом target MAC. Именно так узел формулирует запрос аппаратного адреса шлюза.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1-008"/>
          <w:p>
            <w:pPr>
              <w:pStyle w:val="Compact"/>
              <w:jc w:val="center"/>
            </w:pPr>
            <w:r>
              <w:drawing>
                <wp:inline>
                  <wp:extent cx="5067300" cy="296441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964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Детали ARP Request содержат opcode request, sender MAC/IP и target IP при нулевом target MAC</w:t>
            </w:r>
          </w:p>
          <w:bookmarkEnd w:id="50"/>
        </w:tc>
      </w:tr>
    </w:tbl>
    <w:bookmarkEnd w:id="51"/>
    <w:bookmarkStart w:id="56" w:name="Xc2b13edff53881e5f4356eb27d4f0ee0e54a8b5"/>
    <w:p>
      <w:pPr>
        <w:pStyle w:val="Heading2"/>
      </w:pPr>
      <w:r>
        <w:t xml:space="preserve">4.9 В ARP Reply opcode изменён на reply, а поля sender содержат найденное соответствие IPv4 и MAC</w:t>
      </w:r>
    </w:p>
    <w:p>
      <w:pPr>
        <w:pStyle w:val="FirstParagraph"/>
      </w:pPr>
      <w:r>
        <w:t xml:space="preserve">В ARP Reply opcode изменён на reply, а поля sender содержат найденное соответствие IPv4 и MAC. Ответ адресован непосредственно инициатору запроса.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11-009"/>
          <w:p>
            <w:pPr>
              <w:pStyle w:val="Compact"/>
              <w:jc w:val="center"/>
            </w:pPr>
            <w:r>
              <w:drawing>
                <wp:inline>
                  <wp:extent cx="5067300" cy="275891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758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 ARP Reply opcode изменён на reply, а поля sender содержат найденное соответствие IPv4 и MAC</w:t>
            </w:r>
          </w:p>
          <w:bookmarkEnd w:id="55"/>
        </w:tc>
      </w:tr>
    </w:tbl>
    <w:bookmarkEnd w:id="56"/>
    <w:bookmarkStart w:id="61" w:name="X1f54c95ece72c84a63bc59cd321061052067a24"/>
    <w:p>
      <w:pPr>
        <w:pStyle w:val="Heading2"/>
      </w:pPr>
      <w:r>
        <w:t xml:space="preserve">4.10 В ICMP Echo Request раскрыты Ethernet II, IPv4 и ICMP</w:t>
      </w:r>
    </w:p>
    <w:p>
      <w:pPr>
        <w:pStyle w:val="FirstParagraph"/>
      </w:pPr>
      <w:r>
        <w:t xml:space="preserve">В ICMP Echo Request раскрыты Ethernet II, IPv4 и ICMP. В ICMP видны type 8, checksum, identifier и sequence number, по которым запрос связывается с ответом.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1-010"/>
          <w:p>
            <w:pPr>
              <w:pStyle w:val="Compact"/>
              <w:jc w:val="center"/>
            </w:pPr>
            <w:r>
              <w:drawing>
                <wp:inline>
                  <wp:extent cx="5067300" cy="354984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549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 ICMP Echo Request раскрыты Ethernet II, IPv4 и ICMP</w:t>
            </w:r>
          </w:p>
          <w:bookmarkEnd w:id="60"/>
        </w:tc>
      </w:tr>
    </w:tbl>
    <w:bookmarkEnd w:id="61"/>
    <w:bookmarkStart w:id="66" w:name="X447e845b297f8ca4c794f36d51e4de813029527"/>
    <w:p>
      <w:pPr>
        <w:pStyle w:val="Heading2"/>
      </w:pPr>
      <w:r>
        <w:t xml:space="preserve">4.11 ICMP Echo Reply содержит type 0 и тот же идентификатор обмена</w:t>
      </w:r>
    </w:p>
    <w:p>
      <w:pPr>
        <w:pStyle w:val="FirstParagraph"/>
      </w:pPr>
      <w:r>
        <w:t xml:space="preserve">ICMP Echo Reply содержит type 0 и тот же идентификатор обмена. Обратные адреса Ethernet и IPv4 подтверждают, что пакет вернулся от проверяемого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1-011"/>
          <w:p>
            <w:pPr>
              <w:pStyle w:val="Compact"/>
              <w:jc w:val="center"/>
            </w:pPr>
            <w:r>
              <w:drawing>
                <wp:inline>
                  <wp:extent cx="5067300" cy="242766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427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ICMP Echo Reply содержит type 0 и тот же идентификатор обмена</w:t>
            </w:r>
          </w:p>
          <w:bookmarkEnd w:id="65"/>
        </w:tc>
      </w:tr>
    </w:tbl>
    <w:bookmarkEnd w:id="66"/>
    <w:bookmarkStart w:id="71" w:name="Xa38ca04ab67224873efc01c65a14cbd1e519470"/>
    <w:p>
      <w:pPr>
        <w:pStyle w:val="Heading2"/>
      </w:pPr>
      <w:r>
        <w:t xml:space="preserve">4.12 Фильтр ICMP оставил пару Echo Request/Reply между 172</w:t>
      </w:r>
    </w:p>
    <w:p>
      <w:pPr>
        <w:pStyle w:val="FirstParagraph"/>
      </w:pPr>
      <w:r>
        <w:t xml:space="preserve">Фильтр ICMP оставил пару Echo Request/Reply между 172.16.78.195 и удалённым адресом. Временная близость кадров позволяет оценить порядок и задержку ответа.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1-012"/>
          <w:p>
            <w:pPr>
              <w:pStyle w:val="Compact"/>
              <w:jc w:val="center"/>
            </w:pPr>
            <w:r>
              <w:drawing>
                <wp:inline>
                  <wp:extent cx="5067300" cy="140656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06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Фильтр ICMP оставил пару Echo Request/Reply между 172</w:t>
            </w:r>
          </w:p>
          <w:bookmarkEnd w:id="70"/>
        </w:tc>
      </w:tr>
    </w:tbl>
    <w:bookmarkEnd w:id="71"/>
    <w:bookmarkStart w:id="76" w:name="X548c46e27a310e5933b860c22d9913201b886e2"/>
    <w:p>
      <w:pPr>
        <w:pStyle w:val="Heading2"/>
      </w:pPr>
      <w:r>
        <w:t xml:space="preserve">4.13 В списке TCP-пакетов видны SYN, SYN/ACK и ACK, после которых передаются данные HTTP</w:t>
      </w:r>
    </w:p>
    <w:p>
      <w:pPr>
        <w:pStyle w:val="FirstParagraph"/>
      </w:pPr>
      <w:r>
        <w:t xml:space="preserve">В списке TCP-пакетов видны SYN, SYN/ACK и ACK, после которых передаются данные HTTP. Номера портов, флаги и подтверждения показывают установление соединения до прикладного обмена.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1-013"/>
          <w:p>
            <w:pPr>
              <w:pStyle w:val="Compact"/>
              <w:jc w:val="center"/>
            </w:pPr>
            <w:r>
              <w:drawing>
                <wp:inline>
                  <wp:extent cx="5067300" cy="127873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278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 списке TCP-пакетов видны SYN, SYN/ACK и ACK, после которых передаются данные HTTP</w:t>
            </w:r>
          </w:p>
          <w:bookmarkEnd w:id="75"/>
        </w:tc>
      </w:tr>
    </w:tbl>
    <w:bookmarkEnd w:id="76"/>
    <w:bookmarkStart w:id="81" w:name="X28e14c12b0207bf1613ad93e8a13f6af9eaddc8"/>
    <w:p>
      <w:pPr>
        <w:pStyle w:val="Heading2"/>
      </w:pPr>
      <w:r>
        <w:t xml:space="preserve">4.14 Диаграмма потоков Wireshark отображает TCP-сеанс между локальным и удалённым адресами в хронологическом порядке</w:t>
      </w:r>
    </w:p>
    <w:p>
      <w:pPr>
        <w:pStyle w:val="FirstParagraph"/>
      </w:pPr>
      <w:r>
        <w:t xml:space="preserve">Диаграмма потоков Wireshark отображает TCP-сеанс между локальным и удалённым адресами в хронологическом порядке. Стрелками отделены рукопожатие, передача сегментов и подтверждения.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1-014"/>
          <w:p>
            <w:pPr>
              <w:pStyle w:val="Compact"/>
              <w:jc w:val="center"/>
            </w:pPr>
            <w:r>
              <w:drawing>
                <wp:inline>
                  <wp:extent cx="5067300" cy="265588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65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Диаграмма потоков Wireshark отображает TCP-сеанс между локальным и удалённым адресами в хронологическом порядке</w:t>
            </w:r>
          </w:p>
          <w:bookmarkEnd w:id="80"/>
        </w:tc>
      </w:tr>
    </w:tbl>
    <w:bookmarkEnd w:id="81"/>
    <w:bookmarkEnd w:id="82"/>
    <w:bookmarkStart w:id="8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Исследовать кадры Ethernet и PDU сетевого, транспортного и прикладного уровней TCP/IP Полученные результаты подтверждают работоспособность собранной схемы и корректность выполненной настройки.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11</dc:title>
  <dc:creator>Баранов Никита Дмитриевич</dc:creator>
  <dc:language>ru-RU</dc:language>
  <cp:keywords/>
  <dcterms:created xsi:type="dcterms:W3CDTF">2026-09-14T13:20:17Z</dcterms:created>
  <dcterms:modified xsi:type="dcterms:W3CDTF">2026-09-14T13:20:17Z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Анализ трафика в Wireshark</vt:lpwstr>
  </property>
  <property fmtid="{D5CDD505-2E9C-101B-9397-08002B2CF9AE}" pid="18" name="toc-title">
    <vt:lpwstr>Содержание</vt:lpwstr>
  </property>
</Properties>
</file>