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23A80" w14:textId="77777777" w:rsidR="00B21AA4" w:rsidRPr="00C502B0" w:rsidRDefault="00B21AA4" w:rsidP="00B21AA4">
      <w:pPr>
        <w:rPr>
          <w:rFonts w:ascii="Arial" w:hAnsi="Arial" w:cs="Arial"/>
          <w:b/>
          <w:bCs/>
          <w:sz w:val="20"/>
          <w:szCs w:val="20"/>
        </w:rPr>
      </w:pPr>
      <w:r w:rsidRPr="00C502B0">
        <w:rPr>
          <w:rFonts w:ascii="Arial" w:hAnsi="Arial" w:cs="Arial"/>
          <w:b/>
          <w:bCs/>
          <w:sz w:val="20"/>
          <w:szCs w:val="20"/>
        </w:rPr>
        <w:t xml:space="preserve">Results and Discussion: Metabolic Network Analysis of the </w:t>
      </w:r>
      <w:proofErr w:type="spellStart"/>
      <w:r w:rsidRPr="00C502B0">
        <w:rPr>
          <w:rFonts w:ascii="Arial" w:hAnsi="Arial" w:cs="Arial"/>
          <w:b/>
          <w:bCs/>
          <w:sz w:val="20"/>
          <w:szCs w:val="20"/>
        </w:rPr>
        <w:t>MetRS</w:t>
      </w:r>
      <w:proofErr w:type="spellEnd"/>
      <w:r w:rsidRPr="00C502B0">
        <w:rPr>
          <w:rFonts w:ascii="Arial" w:hAnsi="Arial" w:cs="Arial"/>
          <w:b/>
          <w:bCs/>
          <w:sz w:val="20"/>
          <w:szCs w:val="20"/>
        </w:rPr>
        <w:t xml:space="preserve"> (Figure 2d)</w:t>
      </w:r>
    </w:p>
    <w:p w14:paraId="1D91271D" w14:textId="77777777" w:rsidR="00B21AA4" w:rsidRPr="00B21AA4" w:rsidRDefault="00B21AA4" w:rsidP="00B21AA4">
      <w:pPr>
        <w:rPr>
          <w:rFonts w:ascii="Arial" w:hAnsi="Arial" w:cs="Arial"/>
          <w:sz w:val="20"/>
          <w:szCs w:val="20"/>
        </w:rPr>
      </w:pPr>
    </w:p>
    <w:p w14:paraId="64964924" w14:textId="25522BB0" w:rsidR="00B21AA4" w:rsidRPr="00C502B0" w:rsidRDefault="00B21AA4" w:rsidP="00B21AA4">
      <w:pPr>
        <w:rPr>
          <w:rFonts w:ascii="Arial" w:hAnsi="Arial" w:cs="Arial"/>
          <w:b/>
          <w:bCs/>
          <w:sz w:val="20"/>
          <w:szCs w:val="20"/>
        </w:rPr>
      </w:pPr>
      <w:r w:rsidRPr="00C502B0">
        <w:rPr>
          <w:rFonts w:ascii="Arial" w:hAnsi="Arial" w:cs="Arial"/>
          <w:b/>
          <w:bCs/>
          <w:sz w:val="20"/>
          <w:szCs w:val="20"/>
        </w:rPr>
        <w:t>Results</w:t>
      </w:r>
    </w:p>
    <w:p w14:paraId="7480E076" w14:textId="77777777" w:rsidR="00B21AA4" w:rsidRPr="00B21AA4" w:rsidRDefault="00B21AA4" w:rsidP="00B21AA4">
      <w:pPr>
        <w:rPr>
          <w:rFonts w:ascii="Arial" w:hAnsi="Arial" w:cs="Arial"/>
          <w:sz w:val="20"/>
          <w:szCs w:val="20"/>
        </w:rPr>
      </w:pPr>
    </w:p>
    <w:p w14:paraId="41B377CE" w14:textId="2D774132" w:rsidR="00B21AA4" w:rsidRPr="00C502B0" w:rsidRDefault="00B21AA4" w:rsidP="00B21AA4">
      <w:pPr>
        <w:rPr>
          <w:rFonts w:ascii="Arial" w:hAnsi="Arial" w:cs="Arial"/>
          <w:b/>
          <w:bCs/>
          <w:sz w:val="20"/>
          <w:szCs w:val="20"/>
        </w:rPr>
      </w:pPr>
      <w:r w:rsidRPr="00C502B0">
        <w:rPr>
          <w:rFonts w:ascii="Arial" w:hAnsi="Arial" w:cs="Arial"/>
          <w:b/>
          <w:bCs/>
          <w:sz w:val="20"/>
          <w:szCs w:val="20"/>
        </w:rPr>
        <w:t xml:space="preserve">The </w:t>
      </w:r>
      <w:proofErr w:type="spellStart"/>
      <w:r w:rsidRPr="00C502B0">
        <w:rPr>
          <w:rFonts w:ascii="Arial" w:hAnsi="Arial" w:cs="Arial"/>
          <w:b/>
          <w:bCs/>
          <w:sz w:val="20"/>
          <w:szCs w:val="20"/>
        </w:rPr>
        <w:t>MetRS</w:t>
      </w:r>
      <w:proofErr w:type="spellEnd"/>
      <w:r w:rsidRPr="00C502B0">
        <w:rPr>
          <w:rFonts w:ascii="Arial" w:hAnsi="Arial" w:cs="Arial"/>
          <w:b/>
          <w:bCs/>
          <w:sz w:val="20"/>
          <w:szCs w:val="20"/>
        </w:rPr>
        <w:t xml:space="preserve"> Metabolites Converge on Eight Interlocking Biological Systems Implicated in Long-Term Obesity and Bariatric Surgery Outcomes</w:t>
      </w:r>
    </w:p>
    <w:p w14:paraId="52CEC008" w14:textId="59D3D139" w:rsidR="00B21AA4" w:rsidRPr="00B21AA4" w:rsidRDefault="00B21AA4" w:rsidP="00B21AA4">
      <w:pPr>
        <w:rPr>
          <w:rFonts w:ascii="Arial" w:hAnsi="Arial" w:cs="Arial"/>
          <w:sz w:val="20"/>
          <w:szCs w:val="20"/>
        </w:rPr>
      </w:pPr>
      <w:r w:rsidRPr="00B21AA4">
        <w:rPr>
          <w:rFonts w:ascii="Arial" w:hAnsi="Arial" w:cs="Arial"/>
          <w:sz w:val="20"/>
          <w:szCs w:val="20"/>
        </w:rPr>
        <w:t xml:space="preserve">To move beyond statistical description and toward mechanistic interpretation, we systematically mapped all 13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compounds (together with DMGV, retained for network completeness despite its exclusion from the final score) into a curated biomedical knowledge graph assembled from SPOKE (Scalable Precision Medicine Oriented Knowledge Engine), </w:t>
      </w:r>
      <w:proofErr w:type="spellStart"/>
      <w:r w:rsidRPr="00B21AA4">
        <w:rPr>
          <w:rFonts w:ascii="Arial" w:hAnsi="Arial" w:cs="Arial"/>
          <w:sz w:val="20"/>
          <w:szCs w:val="20"/>
        </w:rPr>
        <w:t>WikiPathways</w:t>
      </w:r>
      <w:proofErr w:type="spellEnd"/>
      <w:r w:rsidRPr="00B21AA4">
        <w:rPr>
          <w:rFonts w:ascii="Arial" w:hAnsi="Arial" w:cs="Arial"/>
          <w:sz w:val="20"/>
          <w:szCs w:val="20"/>
        </w:rPr>
        <w:t>, Gene Ontology, and the Human Metabolome Database (Figure 2d). The resulting network comprised 166 unique nodes</w:t>
      </w:r>
      <w:r w:rsidR="00521A5A">
        <w:rPr>
          <w:rFonts w:ascii="Arial" w:hAnsi="Arial" w:cs="Arial"/>
          <w:sz w:val="20"/>
          <w:szCs w:val="20"/>
        </w:rPr>
        <w:t>:</w:t>
      </w:r>
      <w:r w:rsidRPr="00B21AA4">
        <w:rPr>
          <w:rFonts w:ascii="Arial" w:hAnsi="Arial" w:cs="Arial"/>
          <w:sz w:val="20"/>
          <w:szCs w:val="20"/>
        </w:rPr>
        <w:t xml:space="preserve"> 15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compounds, 60 enzyme- or transporter-encoding genes, 24 Gene Ontology biological processes, 51 canonical metabolic pathways, and 14 cardiometabolic disease entities</w:t>
      </w:r>
      <w:r w:rsidR="00521A5A">
        <w:rPr>
          <w:rFonts w:ascii="Arial" w:hAnsi="Arial" w:cs="Arial"/>
          <w:sz w:val="20"/>
          <w:szCs w:val="20"/>
        </w:rPr>
        <w:t>,</w:t>
      </w:r>
      <w:r w:rsidRPr="00B21AA4">
        <w:rPr>
          <w:rFonts w:ascii="Arial" w:hAnsi="Arial" w:cs="Arial"/>
          <w:sz w:val="20"/>
          <w:szCs w:val="20"/>
        </w:rPr>
        <w:t xml:space="preserve"> connected by 184 edges representing substrate</w:t>
      </w:r>
      <w:r w:rsidR="00521A5A">
        <w:rPr>
          <w:rFonts w:ascii="Arial" w:hAnsi="Arial" w:cs="Arial"/>
          <w:sz w:val="20"/>
          <w:szCs w:val="20"/>
        </w:rPr>
        <w:t>-</w:t>
      </w:r>
      <w:r w:rsidRPr="00B21AA4">
        <w:rPr>
          <w:rFonts w:ascii="Arial" w:hAnsi="Arial" w:cs="Arial"/>
          <w:sz w:val="20"/>
          <w:szCs w:val="20"/>
        </w:rPr>
        <w:t>enzyme relationships, gene</w:t>
      </w:r>
      <w:r w:rsidR="00521A5A">
        <w:rPr>
          <w:rFonts w:ascii="Arial" w:hAnsi="Arial" w:cs="Arial"/>
          <w:sz w:val="20"/>
          <w:szCs w:val="20"/>
        </w:rPr>
        <w:t>-</w:t>
      </w:r>
      <w:r w:rsidRPr="00B21AA4">
        <w:rPr>
          <w:rFonts w:ascii="Arial" w:hAnsi="Arial" w:cs="Arial"/>
          <w:sz w:val="20"/>
          <w:szCs w:val="20"/>
        </w:rPr>
        <w:t>pathway membership, and gene</w:t>
      </w:r>
      <w:r w:rsidR="00521A5A">
        <w:rPr>
          <w:rFonts w:ascii="Arial" w:hAnsi="Arial" w:cs="Arial"/>
          <w:sz w:val="20"/>
          <w:szCs w:val="20"/>
        </w:rPr>
        <w:t>-</w:t>
      </w:r>
      <w:r w:rsidRPr="00B21AA4">
        <w:rPr>
          <w:rFonts w:ascii="Arial" w:hAnsi="Arial" w:cs="Arial"/>
          <w:sz w:val="20"/>
          <w:szCs w:val="20"/>
        </w:rPr>
        <w:t>disease associations curated from peer-reviewed literature (Figure 2d).</w:t>
      </w:r>
    </w:p>
    <w:p w14:paraId="60A9CD1E" w14:textId="350F1AAD" w:rsidR="00B21AA4" w:rsidRPr="00B21AA4" w:rsidRDefault="00521A5A" w:rsidP="00B21AA4">
      <w:pPr>
        <w:rPr>
          <w:rFonts w:ascii="Arial" w:hAnsi="Arial" w:cs="Arial"/>
          <w:sz w:val="20"/>
          <w:szCs w:val="20"/>
        </w:rPr>
      </w:pPr>
      <w:r>
        <w:rPr>
          <w:rFonts w:ascii="Arial" w:hAnsi="Arial" w:cs="Arial"/>
          <w:sz w:val="20"/>
          <w:szCs w:val="20"/>
        </w:rPr>
        <w:t>The network</w:t>
      </w:r>
      <w:r w:rsidR="00B21AA4" w:rsidRPr="00B21AA4">
        <w:rPr>
          <w:rFonts w:ascii="Arial" w:hAnsi="Arial" w:cs="Arial"/>
          <w:sz w:val="20"/>
          <w:szCs w:val="20"/>
        </w:rPr>
        <w:t xml:space="preserve"> revealed that the </w:t>
      </w:r>
      <w:proofErr w:type="spellStart"/>
      <w:r w:rsidR="00B21AA4" w:rsidRPr="00B21AA4">
        <w:rPr>
          <w:rFonts w:ascii="Arial" w:hAnsi="Arial" w:cs="Arial"/>
          <w:sz w:val="20"/>
          <w:szCs w:val="20"/>
        </w:rPr>
        <w:t>MetRS</w:t>
      </w:r>
      <w:proofErr w:type="spellEnd"/>
      <w:r w:rsidR="00B21AA4" w:rsidRPr="00B21AA4">
        <w:rPr>
          <w:rFonts w:ascii="Arial" w:hAnsi="Arial" w:cs="Arial"/>
          <w:sz w:val="20"/>
          <w:szCs w:val="20"/>
        </w:rPr>
        <w:t xml:space="preserve"> metabolites are not a heterogeneous collection of unrelated biomarkers; rather, they collectively populate eight partially overlapping biological modules, each with established relevance to the pathophysiology of obesity, bariatric surgery response, and long-term weight regulation (Figure 2d). These modules are described below.</w:t>
      </w:r>
    </w:p>
    <w:p w14:paraId="6D2EEC69" w14:textId="77777777" w:rsidR="00B21AA4" w:rsidRPr="00B21AA4" w:rsidRDefault="00B21AA4" w:rsidP="00B21AA4">
      <w:pPr>
        <w:rPr>
          <w:rFonts w:ascii="Arial" w:hAnsi="Arial" w:cs="Arial"/>
          <w:sz w:val="20"/>
          <w:szCs w:val="20"/>
        </w:rPr>
      </w:pPr>
    </w:p>
    <w:p w14:paraId="275E0459" w14:textId="2E0E6B2C" w:rsidR="00B21AA4" w:rsidRPr="00521A5A" w:rsidRDefault="00B21AA4" w:rsidP="00B21AA4">
      <w:pPr>
        <w:rPr>
          <w:rFonts w:ascii="Arial" w:hAnsi="Arial" w:cs="Arial"/>
          <w:b/>
          <w:bCs/>
          <w:sz w:val="20"/>
          <w:szCs w:val="20"/>
        </w:rPr>
      </w:pPr>
      <w:r w:rsidRPr="00521A5A">
        <w:rPr>
          <w:rFonts w:ascii="Arial" w:hAnsi="Arial" w:cs="Arial"/>
          <w:b/>
          <w:bCs/>
          <w:sz w:val="20"/>
          <w:szCs w:val="20"/>
        </w:rPr>
        <w:t xml:space="preserve">Tryptophan catabolism and low-grade inflammation (L-kynurenine hub). </w:t>
      </w:r>
    </w:p>
    <w:p w14:paraId="5CD9847A" w14:textId="77777777" w:rsidR="00B21AA4" w:rsidRPr="00B21AA4" w:rsidRDefault="00B21AA4" w:rsidP="00B21AA4">
      <w:pPr>
        <w:rPr>
          <w:rFonts w:ascii="Arial" w:hAnsi="Arial" w:cs="Arial"/>
          <w:sz w:val="20"/>
          <w:szCs w:val="20"/>
        </w:rPr>
      </w:pPr>
      <w:r w:rsidRPr="00B21AA4">
        <w:rPr>
          <w:rFonts w:ascii="Arial" w:hAnsi="Arial" w:cs="Arial"/>
          <w:sz w:val="20"/>
          <w:szCs w:val="20"/>
        </w:rPr>
        <w:t xml:space="preserve">The most densely connected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compound in the network was L-kynurenine, which anchored an eleven-gene subgraph comprising the rate-limiting tryptophan-catabolizing enzymes IDO1, IDO2, and TDO2, as well as the downstream kynurenine aminotransferases KYAT1, KYAT3, and AADAT, and the </w:t>
      </w:r>
      <w:proofErr w:type="spellStart"/>
      <w:r w:rsidRPr="00B21AA4">
        <w:rPr>
          <w:rFonts w:ascii="Arial" w:hAnsi="Arial" w:cs="Arial"/>
          <w:sz w:val="20"/>
          <w:szCs w:val="20"/>
        </w:rPr>
        <w:t>kynureninase</w:t>
      </w:r>
      <w:proofErr w:type="spellEnd"/>
      <w:r w:rsidRPr="00B21AA4">
        <w:rPr>
          <w:rFonts w:ascii="Arial" w:hAnsi="Arial" w:cs="Arial"/>
          <w:sz w:val="20"/>
          <w:szCs w:val="20"/>
        </w:rPr>
        <w:t xml:space="preserve"> KYNU. This gene set collectively participates in four </w:t>
      </w:r>
      <w:proofErr w:type="spellStart"/>
      <w:r w:rsidRPr="00B21AA4">
        <w:rPr>
          <w:rFonts w:ascii="Arial" w:hAnsi="Arial" w:cs="Arial"/>
          <w:sz w:val="20"/>
          <w:szCs w:val="20"/>
        </w:rPr>
        <w:t>WikiPathways</w:t>
      </w:r>
      <w:proofErr w:type="spellEnd"/>
      <w:r w:rsidRPr="00B21AA4">
        <w:rPr>
          <w:rFonts w:ascii="Arial" w:hAnsi="Arial" w:cs="Arial"/>
          <w:sz w:val="20"/>
          <w:szCs w:val="20"/>
        </w:rPr>
        <w:t xml:space="preserve">-annotated pathway modules: tryptophan metabolism (WP465), the IDO metabolic pathway (WP5414), the kynurenine/cell-senescence axis (WP5044), and tryptophan catabolism to NAD+ (WP4210). IDO1, the principal inflammatory kynurenine-producing enzyme, was directly linked in the network to obesity (DOID:9970), type 2 diabetes mellitus (DOID:9352), and immune system diseases, consistent with published evidence that adipose-tissue-derived interferon-γ drives IDO1 activity in states of metabolic inflammation [Cervenka I et al., Science 2017; </w:t>
      </w:r>
      <w:proofErr w:type="spellStart"/>
      <w:r w:rsidRPr="00B21AA4">
        <w:rPr>
          <w:rFonts w:ascii="Arial" w:hAnsi="Arial" w:cs="Arial"/>
          <w:sz w:val="20"/>
          <w:szCs w:val="20"/>
        </w:rPr>
        <w:t>Favennec</w:t>
      </w:r>
      <w:proofErr w:type="spellEnd"/>
      <w:r w:rsidRPr="00B21AA4">
        <w:rPr>
          <w:rFonts w:ascii="Arial" w:hAnsi="Arial" w:cs="Arial"/>
          <w:sz w:val="20"/>
          <w:szCs w:val="20"/>
        </w:rPr>
        <w:t xml:space="preserve"> M et al., Gut 2015]. Higher preoperative kynurenine in the weight-regain group (Figure 2a) thus suggests that individuals predisposed to poor surgical outcomes harbor a pre-existing inflammatory IDO1 phenotype that may not fully resolve after surgery.</w:t>
      </w:r>
    </w:p>
    <w:p w14:paraId="1FBC145D" w14:textId="77777777" w:rsidR="00B21AA4" w:rsidRPr="00B21AA4" w:rsidRDefault="00B21AA4" w:rsidP="00B21AA4">
      <w:pPr>
        <w:rPr>
          <w:rFonts w:ascii="Arial" w:hAnsi="Arial" w:cs="Arial"/>
          <w:sz w:val="20"/>
          <w:szCs w:val="20"/>
        </w:rPr>
      </w:pPr>
    </w:p>
    <w:p w14:paraId="1BDB4AB1" w14:textId="33F3FF36" w:rsidR="00B21AA4" w:rsidRPr="00521A5A" w:rsidRDefault="00B21AA4" w:rsidP="00B21AA4">
      <w:pPr>
        <w:rPr>
          <w:rFonts w:ascii="Arial" w:hAnsi="Arial" w:cs="Arial"/>
          <w:b/>
          <w:bCs/>
          <w:sz w:val="20"/>
          <w:szCs w:val="20"/>
        </w:rPr>
      </w:pPr>
      <w:r w:rsidRPr="00521A5A">
        <w:rPr>
          <w:rFonts w:ascii="Arial" w:hAnsi="Arial" w:cs="Arial"/>
          <w:b/>
          <w:bCs/>
          <w:sz w:val="20"/>
          <w:szCs w:val="20"/>
        </w:rPr>
        <w:t>Fatty acid oxidation and mitochondrial energy sensing (malonate, BAIBA, 3-methyladipate/</w:t>
      </w:r>
      <w:proofErr w:type="spellStart"/>
      <w:r w:rsidRPr="00521A5A">
        <w:rPr>
          <w:rFonts w:ascii="Arial" w:hAnsi="Arial" w:cs="Arial"/>
          <w:b/>
          <w:bCs/>
          <w:sz w:val="20"/>
          <w:szCs w:val="20"/>
        </w:rPr>
        <w:t>pimelate</w:t>
      </w:r>
      <w:proofErr w:type="spellEnd"/>
      <w:r w:rsidRPr="00521A5A">
        <w:rPr>
          <w:rFonts w:ascii="Arial" w:hAnsi="Arial" w:cs="Arial"/>
          <w:b/>
          <w:bCs/>
          <w:sz w:val="20"/>
          <w:szCs w:val="20"/>
        </w:rPr>
        <w:t xml:space="preserve"> hub). </w:t>
      </w:r>
    </w:p>
    <w:p w14:paraId="46CD2D89" w14:textId="32FC2FE6" w:rsidR="00B21AA4" w:rsidRPr="00B21AA4" w:rsidRDefault="00B21AA4" w:rsidP="00B21AA4">
      <w:pPr>
        <w:rPr>
          <w:rFonts w:ascii="Arial" w:hAnsi="Arial" w:cs="Arial"/>
          <w:sz w:val="20"/>
          <w:szCs w:val="20"/>
        </w:rPr>
      </w:pPr>
      <w:r w:rsidRPr="00B21AA4">
        <w:rPr>
          <w:rFonts w:ascii="Arial" w:hAnsi="Arial" w:cs="Arial"/>
          <w:sz w:val="20"/>
          <w:szCs w:val="20"/>
        </w:rPr>
        <w:t xml:space="preserve">Three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metabolites</w:t>
      </w:r>
      <w:r w:rsidR="00521A5A">
        <w:rPr>
          <w:rFonts w:ascii="Arial" w:hAnsi="Arial" w:cs="Arial"/>
          <w:sz w:val="20"/>
          <w:szCs w:val="20"/>
        </w:rPr>
        <w:t>:</w:t>
      </w:r>
      <w:r w:rsidRPr="00B21AA4">
        <w:rPr>
          <w:rFonts w:ascii="Arial" w:hAnsi="Arial" w:cs="Arial"/>
          <w:sz w:val="20"/>
          <w:szCs w:val="20"/>
        </w:rPr>
        <w:t xml:space="preserve"> malonate, 2-aminoisobutyric acid (BAIBA), and 3-methyladipate/</w:t>
      </w:r>
      <w:proofErr w:type="spellStart"/>
      <w:r w:rsidRPr="00B21AA4">
        <w:rPr>
          <w:rFonts w:ascii="Arial" w:hAnsi="Arial" w:cs="Arial"/>
          <w:sz w:val="20"/>
          <w:szCs w:val="20"/>
        </w:rPr>
        <w:t>pimelate</w:t>
      </w:r>
      <w:proofErr w:type="spellEnd"/>
      <w:r w:rsidR="00521A5A">
        <w:rPr>
          <w:rFonts w:ascii="Arial" w:hAnsi="Arial" w:cs="Arial"/>
          <w:sz w:val="20"/>
          <w:szCs w:val="20"/>
        </w:rPr>
        <w:t>,</w:t>
      </w:r>
      <w:r w:rsidRPr="00B21AA4">
        <w:rPr>
          <w:rFonts w:ascii="Arial" w:hAnsi="Arial" w:cs="Arial"/>
          <w:sz w:val="20"/>
          <w:szCs w:val="20"/>
        </w:rPr>
        <w:t xml:space="preserve"> co-localized within a fatty acid oxidation subgraph centered on CPT1A, CPT1B (the mitochondrial fatty acid import gates), PPARA, PRKAA1/2 (AMPKα subunits), and the succinate dehydrogenase complex (SDHA–SDHD). Malonate, the free-acid form of malonyl-CoA, is an endogenous inhibitor of the CPT1A/CPT1B carnitine shuttle and is regulated by the ACACA/ACACB acetyl-CoA carboxylase system</w:t>
      </w:r>
      <w:r w:rsidR="00521A5A">
        <w:rPr>
          <w:rFonts w:ascii="Arial" w:hAnsi="Arial" w:cs="Arial"/>
          <w:sz w:val="20"/>
          <w:szCs w:val="20"/>
        </w:rPr>
        <w:t>,</w:t>
      </w:r>
      <w:r w:rsidRPr="00B21AA4">
        <w:rPr>
          <w:rFonts w:ascii="Arial" w:hAnsi="Arial" w:cs="Arial"/>
          <w:sz w:val="20"/>
          <w:szCs w:val="20"/>
        </w:rPr>
        <w:t xml:space="preserve"> </w:t>
      </w:r>
      <w:r w:rsidRPr="00B21AA4">
        <w:rPr>
          <w:rFonts w:ascii="Arial" w:hAnsi="Arial" w:cs="Arial"/>
          <w:sz w:val="20"/>
          <w:szCs w:val="20"/>
        </w:rPr>
        <w:lastRenderedPageBreak/>
        <w:t xml:space="preserve">the same axis by which hypothalamic AMPK governs systemic fat oxidation [McGarry JD &amp; Brown NF, </w:t>
      </w:r>
      <w:proofErr w:type="spellStart"/>
      <w:r w:rsidRPr="00B21AA4">
        <w:rPr>
          <w:rFonts w:ascii="Arial" w:hAnsi="Arial" w:cs="Arial"/>
          <w:sz w:val="20"/>
          <w:szCs w:val="20"/>
        </w:rPr>
        <w:t>Eur</w:t>
      </w:r>
      <w:proofErr w:type="spellEnd"/>
      <w:r w:rsidRPr="00B21AA4">
        <w:rPr>
          <w:rFonts w:ascii="Arial" w:hAnsi="Arial" w:cs="Arial"/>
          <w:sz w:val="20"/>
          <w:szCs w:val="20"/>
        </w:rPr>
        <w:t xml:space="preserve"> J </w:t>
      </w:r>
      <w:proofErr w:type="spellStart"/>
      <w:r w:rsidRPr="00B21AA4">
        <w:rPr>
          <w:rFonts w:ascii="Arial" w:hAnsi="Arial" w:cs="Arial"/>
          <w:sz w:val="20"/>
          <w:szCs w:val="20"/>
        </w:rPr>
        <w:t>Biochem</w:t>
      </w:r>
      <w:proofErr w:type="spellEnd"/>
      <w:r w:rsidRPr="00B21AA4">
        <w:rPr>
          <w:rFonts w:ascii="Arial" w:hAnsi="Arial" w:cs="Arial"/>
          <w:sz w:val="20"/>
          <w:szCs w:val="20"/>
        </w:rPr>
        <w:t xml:space="preserve"> 1997; Seoane-Collazo P et al., Nat </w:t>
      </w:r>
      <w:proofErr w:type="spellStart"/>
      <w:r w:rsidRPr="00B21AA4">
        <w:rPr>
          <w:rFonts w:ascii="Arial" w:hAnsi="Arial" w:cs="Arial"/>
          <w:sz w:val="20"/>
          <w:szCs w:val="20"/>
        </w:rPr>
        <w:t>Metab</w:t>
      </w:r>
      <w:proofErr w:type="spellEnd"/>
      <w:r w:rsidRPr="00B21AA4">
        <w:rPr>
          <w:rFonts w:ascii="Arial" w:hAnsi="Arial" w:cs="Arial"/>
          <w:sz w:val="20"/>
          <w:szCs w:val="20"/>
        </w:rPr>
        <w:t xml:space="preserve"> 2020]. BAIBA, an exercise-inducible myokine derived from thymine catabolism and the KYAT3/PGC-1α axis, activates PPARA-dependent fat oxidation and stimulates UCP2-mediated thermogenesis, functioning as a circulating signal linking skeletal muscle metabolism to adipose tissue browning [Roberts MD et al., Cell </w:t>
      </w:r>
      <w:proofErr w:type="spellStart"/>
      <w:r w:rsidRPr="00B21AA4">
        <w:rPr>
          <w:rFonts w:ascii="Arial" w:hAnsi="Arial" w:cs="Arial"/>
          <w:sz w:val="20"/>
          <w:szCs w:val="20"/>
        </w:rPr>
        <w:t>Metab</w:t>
      </w:r>
      <w:proofErr w:type="spellEnd"/>
      <w:r w:rsidRPr="00B21AA4">
        <w:rPr>
          <w:rFonts w:ascii="Arial" w:hAnsi="Arial" w:cs="Arial"/>
          <w:sz w:val="20"/>
          <w:szCs w:val="20"/>
        </w:rPr>
        <w:t xml:space="preserve"> 2014; Boström P et al., Nature 2012]. 3-Methyladipate and pimelic acid, products of odd-chain and branched-chain fatty acid ω-oxidation, serve as indirect markers of peroxisomal fatty acid handling capacity. The co-presence of these three compounds in the </w:t>
      </w:r>
      <w:proofErr w:type="spellStart"/>
      <w:r w:rsidRPr="00B21AA4">
        <w:rPr>
          <w:rFonts w:ascii="Arial" w:hAnsi="Arial" w:cs="Arial"/>
          <w:sz w:val="20"/>
          <w:szCs w:val="20"/>
        </w:rPr>
        <w:t>MetRS</w:t>
      </w:r>
      <w:proofErr w:type="spellEnd"/>
      <w:r w:rsidRPr="00B21AA4">
        <w:rPr>
          <w:rFonts w:ascii="Arial" w:hAnsi="Arial" w:cs="Arial"/>
          <w:sz w:val="20"/>
          <w:szCs w:val="20"/>
        </w:rPr>
        <w:t>, each negatively associated with weight regain (Figure 2a), suggests that the capacity for efficient mitochondrial and peroxisomal fatty acid oxidation</w:t>
      </w:r>
      <w:r w:rsidR="00521A5A">
        <w:rPr>
          <w:rFonts w:ascii="Arial" w:hAnsi="Arial" w:cs="Arial"/>
          <w:sz w:val="20"/>
          <w:szCs w:val="20"/>
        </w:rPr>
        <w:t>,</w:t>
      </w:r>
      <w:r w:rsidRPr="00B21AA4">
        <w:rPr>
          <w:rFonts w:ascii="Arial" w:hAnsi="Arial" w:cs="Arial"/>
          <w:sz w:val="20"/>
          <w:szCs w:val="20"/>
        </w:rPr>
        <w:t xml:space="preserve"> as reflected by the CPT1A–PPARA–AMPK regulatory axis</w:t>
      </w:r>
      <w:r w:rsidR="00521A5A">
        <w:rPr>
          <w:rFonts w:ascii="Arial" w:hAnsi="Arial" w:cs="Arial"/>
          <w:sz w:val="20"/>
          <w:szCs w:val="20"/>
        </w:rPr>
        <w:t>,</w:t>
      </w:r>
      <w:r w:rsidRPr="00B21AA4">
        <w:rPr>
          <w:rFonts w:ascii="Arial" w:hAnsi="Arial" w:cs="Arial"/>
          <w:sz w:val="20"/>
          <w:szCs w:val="20"/>
        </w:rPr>
        <w:t xml:space="preserve"> is a central determinant of long-term weight loss maintenance after RYGB.</w:t>
      </w:r>
    </w:p>
    <w:p w14:paraId="4858B450" w14:textId="77777777" w:rsidR="00B21AA4" w:rsidRPr="00B21AA4" w:rsidRDefault="00B21AA4" w:rsidP="00B21AA4">
      <w:pPr>
        <w:rPr>
          <w:rFonts w:ascii="Arial" w:hAnsi="Arial" w:cs="Arial"/>
          <w:sz w:val="20"/>
          <w:szCs w:val="20"/>
        </w:rPr>
      </w:pPr>
    </w:p>
    <w:p w14:paraId="3C8D7E8B" w14:textId="5ECCF1B1" w:rsidR="00B21AA4" w:rsidRPr="00521A5A" w:rsidRDefault="00B21AA4" w:rsidP="00B21AA4">
      <w:pPr>
        <w:rPr>
          <w:rFonts w:ascii="Arial" w:hAnsi="Arial" w:cs="Arial"/>
          <w:b/>
          <w:bCs/>
          <w:sz w:val="20"/>
          <w:szCs w:val="20"/>
        </w:rPr>
      </w:pPr>
      <w:r w:rsidRPr="00521A5A">
        <w:rPr>
          <w:rFonts w:ascii="Arial" w:hAnsi="Arial" w:cs="Arial"/>
          <w:b/>
          <w:bCs/>
          <w:sz w:val="20"/>
          <w:szCs w:val="20"/>
        </w:rPr>
        <w:t>Bile acid signaling, hepatic glucuronidation, and the GLP-1 axis (glucuronate hub).</w:t>
      </w:r>
    </w:p>
    <w:p w14:paraId="1B3C6F9E" w14:textId="77777777" w:rsidR="00B21AA4" w:rsidRPr="00B21AA4" w:rsidRDefault="00B21AA4" w:rsidP="00B21AA4">
      <w:pPr>
        <w:rPr>
          <w:rFonts w:ascii="Arial" w:hAnsi="Arial" w:cs="Arial"/>
          <w:sz w:val="20"/>
          <w:szCs w:val="20"/>
        </w:rPr>
      </w:pPr>
      <w:r w:rsidRPr="00B21AA4">
        <w:rPr>
          <w:rFonts w:ascii="Arial" w:hAnsi="Arial" w:cs="Arial"/>
          <w:sz w:val="20"/>
          <w:szCs w:val="20"/>
        </w:rPr>
        <w:t xml:space="preserve">Glucuronate (D-glucuronic acid), which was lower in the weight-regain group (Figure 2a), occupied a central bridging position in the network between hepatic Phase II conjugation and the enterohepatic GLP-1 axis. Glucuronate is the primary substrate for the UDP-glucuronosyltransferases UGT1A1 and UGT1A3, which conjugate bile acids for biliary excretion and are principal determinants of bile acid pool composition. The network linked the bile acid master regulators CYP7A1 (rate-limiting cholesterol 7α-hydroxylase), NR1H4/FXR (the nuclear bile acid receptor), and FGF19 (the enterohepatic feedback hormone) to four cardiometabolic disease nodes including obesity, type 2 diabetes, metabolic-associated steatohepatitis (MASH), and cholestasis, consistent with published evidence that FXR activation is a key mechanism by which RYGB improves metabolic dysfunction beyond caloric restriction [Penney NC et al., </w:t>
      </w:r>
      <w:proofErr w:type="spellStart"/>
      <w:r w:rsidRPr="00B21AA4">
        <w:rPr>
          <w:rFonts w:ascii="Arial" w:hAnsi="Arial" w:cs="Arial"/>
          <w:sz w:val="20"/>
          <w:szCs w:val="20"/>
        </w:rPr>
        <w:t>Obes</w:t>
      </w:r>
      <w:proofErr w:type="spellEnd"/>
      <w:r w:rsidRPr="00B21AA4">
        <w:rPr>
          <w:rFonts w:ascii="Arial" w:hAnsi="Arial" w:cs="Arial"/>
          <w:sz w:val="20"/>
          <w:szCs w:val="20"/>
        </w:rPr>
        <w:t xml:space="preserve"> Rev 2015; Trauner M et al., J Hepatol 2010]. Crucially, bile acid–driven TGR5 signaling in intestinal L-cells stimulates GLP-1 secretion from the proglucagon gene product GCG, which in the network was connected to GLP-1 signaling (WP5452), thermogenesis (WP4321), and hunger and satiety pathways (WP5445) through GLP1R and DPP4. The lower preoperative glucuronate in weight-regain patients may therefore reflect a reduced capacity for bile acid conjugation and enterohepatic recycling that limits the magnitude and durability of the GLP-1 increment that drives initial surgical weight loss [</w:t>
      </w:r>
      <w:proofErr w:type="spellStart"/>
      <w:r w:rsidRPr="00B21AA4">
        <w:rPr>
          <w:rFonts w:ascii="Arial" w:hAnsi="Arial" w:cs="Arial"/>
          <w:sz w:val="20"/>
          <w:szCs w:val="20"/>
        </w:rPr>
        <w:t>Laferrère</w:t>
      </w:r>
      <w:proofErr w:type="spellEnd"/>
      <w:r w:rsidRPr="00B21AA4">
        <w:rPr>
          <w:rFonts w:ascii="Arial" w:hAnsi="Arial" w:cs="Arial"/>
          <w:sz w:val="20"/>
          <w:szCs w:val="20"/>
        </w:rPr>
        <w:t xml:space="preserve"> B et al., Diabetes Care 2010; Patti ME et al., Obesity 2009].</w:t>
      </w:r>
    </w:p>
    <w:p w14:paraId="7892C10F" w14:textId="77777777" w:rsidR="00B21AA4" w:rsidRPr="00B21AA4" w:rsidRDefault="00B21AA4" w:rsidP="00B21AA4">
      <w:pPr>
        <w:rPr>
          <w:rFonts w:ascii="Arial" w:hAnsi="Arial" w:cs="Arial"/>
          <w:sz w:val="20"/>
          <w:szCs w:val="20"/>
        </w:rPr>
      </w:pPr>
    </w:p>
    <w:p w14:paraId="3458F482" w14:textId="0FC647ED" w:rsidR="00B21AA4" w:rsidRPr="00521A5A" w:rsidRDefault="00B21AA4" w:rsidP="00B21AA4">
      <w:pPr>
        <w:rPr>
          <w:rFonts w:ascii="Arial" w:hAnsi="Arial" w:cs="Arial"/>
          <w:b/>
          <w:bCs/>
          <w:sz w:val="20"/>
          <w:szCs w:val="20"/>
        </w:rPr>
      </w:pPr>
      <w:r w:rsidRPr="00521A5A">
        <w:rPr>
          <w:rFonts w:ascii="Arial" w:hAnsi="Arial" w:cs="Arial"/>
          <w:b/>
          <w:bCs/>
          <w:sz w:val="20"/>
          <w:szCs w:val="20"/>
        </w:rPr>
        <w:t>Nitric oxide metabolism and vascular energy expenditure (homoarginine, DMGV hub).</w:t>
      </w:r>
    </w:p>
    <w:p w14:paraId="53A8E2A9" w14:textId="77777777" w:rsidR="00B21AA4" w:rsidRPr="00B21AA4" w:rsidRDefault="00B21AA4" w:rsidP="00B21AA4">
      <w:pPr>
        <w:rPr>
          <w:rFonts w:ascii="Arial" w:hAnsi="Arial" w:cs="Arial"/>
          <w:sz w:val="20"/>
          <w:szCs w:val="20"/>
        </w:rPr>
      </w:pPr>
      <w:r w:rsidRPr="00B21AA4">
        <w:rPr>
          <w:rFonts w:ascii="Arial" w:hAnsi="Arial" w:cs="Arial"/>
          <w:sz w:val="20"/>
          <w:szCs w:val="20"/>
        </w:rPr>
        <w:t>L-homoarginine and DMGV (</w:t>
      </w:r>
      <w:proofErr w:type="spellStart"/>
      <w:r w:rsidRPr="00B21AA4">
        <w:rPr>
          <w:rFonts w:ascii="Arial" w:hAnsi="Arial" w:cs="Arial"/>
          <w:sz w:val="20"/>
          <w:szCs w:val="20"/>
        </w:rPr>
        <w:t>dimethylguanidinovaleric</w:t>
      </w:r>
      <w:proofErr w:type="spellEnd"/>
      <w:r w:rsidRPr="00B21AA4">
        <w:rPr>
          <w:rFonts w:ascii="Arial" w:hAnsi="Arial" w:cs="Arial"/>
          <w:sz w:val="20"/>
          <w:szCs w:val="20"/>
        </w:rPr>
        <w:t xml:space="preserve"> acid) anchored a nitric oxide subgraph centered on NOS1, NOS2, and NOS3, the three nitric oxide synthase isoforms. In the network, NOS3 was directly associated with obesity and type 2 diabetes and participated in leptin signaling (WP2034), PI3K/Akt signaling (WP4172), and the effects of nitric oxide pathway (WP1995). L-homoarginine, produced by GATM (glycine </w:t>
      </w:r>
      <w:proofErr w:type="spellStart"/>
      <w:r w:rsidRPr="00B21AA4">
        <w:rPr>
          <w:rFonts w:ascii="Arial" w:hAnsi="Arial" w:cs="Arial"/>
          <w:sz w:val="20"/>
          <w:szCs w:val="20"/>
        </w:rPr>
        <w:t>amidinotransferase</w:t>
      </w:r>
      <w:proofErr w:type="spellEnd"/>
      <w:r w:rsidRPr="00B21AA4">
        <w:rPr>
          <w:rFonts w:ascii="Arial" w:hAnsi="Arial" w:cs="Arial"/>
          <w:sz w:val="20"/>
          <w:szCs w:val="20"/>
        </w:rPr>
        <w:t>) from arginine and glycine, competes with L-arginine for the NOS oxygenase active site, such that low homoarginine impairs both nitric oxide production and creatine biosynthesis simultaneously [</w:t>
      </w:r>
      <w:proofErr w:type="spellStart"/>
      <w:r w:rsidRPr="00B21AA4">
        <w:rPr>
          <w:rFonts w:ascii="Arial" w:hAnsi="Arial" w:cs="Arial"/>
          <w:sz w:val="20"/>
          <w:szCs w:val="20"/>
        </w:rPr>
        <w:t>Tomaschitz</w:t>
      </w:r>
      <w:proofErr w:type="spellEnd"/>
      <w:r w:rsidRPr="00B21AA4">
        <w:rPr>
          <w:rFonts w:ascii="Arial" w:hAnsi="Arial" w:cs="Arial"/>
          <w:sz w:val="20"/>
          <w:szCs w:val="20"/>
        </w:rPr>
        <w:t xml:space="preserve"> A et al., Atherosclerosis 2014; Davids M et al., Amino Acids 2012]. Higher preoperative homoarginine in the weight-regain group (Figure 2a) may indicate a pre-existing compensatory elevation in response to impaired NOS3 activity or reduced arginine bioavailability, linking vascular endothelial dysfunction to the systemic phenotype of poor surgical outcomes. DMGV, derived from asymmetric dimethylarginine (ADMA) catabolism through the GATM pathway, reflects the balance between methylarginine accumulation and clearance — a direct readout of endogenous NOS inhibition and cardiovascular risk.</w:t>
      </w:r>
    </w:p>
    <w:p w14:paraId="110C5985" w14:textId="77777777" w:rsidR="00B21AA4" w:rsidRPr="00B21AA4" w:rsidRDefault="00B21AA4" w:rsidP="00B21AA4">
      <w:pPr>
        <w:rPr>
          <w:rFonts w:ascii="Arial" w:hAnsi="Arial" w:cs="Arial"/>
          <w:sz w:val="20"/>
          <w:szCs w:val="20"/>
        </w:rPr>
      </w:pPr>
    </w:p>
    <w:p w14:paraId="35F0B44E" w14:textId="44C1F982" w:rsidR="00B21AA4" w:rsidRPr="00521A5A" w:rsidRDefault="00B21AA4" w:rsidP="00B21AA4">
      <w:pPr>
        <w:rPr>
          <w:rFonts w:ascii="Arial" w:hAnsi="Arial" w:cs="Arial"/>
          <w:b/>
          <w:bCs/>
          <w:sz w:val="20"/>
          <w:szCs w:val="20"/>
        </w:rPr>
      </w:pPr>
      <w:r w:rsidRPr="00521A5A">
        <w:rPr>
          <w:rFonts w:ascii="Arial" w:hAnsi="Arial" w:cs="Arial"/>
          <w:b/>
          <w:bCs/>
          <w:sz w:val="20"/>
          <w:szCs w:val="20"/>
        </w:rPr>
        <w:t xml:space="preserve">Gut microbiome co-metabolism (4-hydroxyhippurate, 3-ureidopropionic acid hub). </w:t>
      </w:r>
    </w:p>
    <w:p w14:paraId="6E41F13F" w14:textId="4FB39BF3" w:rsidR="00B21AA4" w:rsidRPr="00B21AA4" w:rsidRDefault="00B21AA4" w:rsidP="00B21AA4">
      <w:pPr>
        <w:rPr>
          <w:rFonts w:ascii="Arial" w:hAnsi="Arial" w:cs="Arial"/>
          <w:sz w:val="20"/>
          <w:szCs w:val="20"/>
        </w:rPr>
      </w:pPr>
      <w:r w:rsidRPr="00B21AA4">
        <w:rPr>
          <w:rFonts w:ascii="Arial" w:hAnsi="Arial" w:cs="Arial"/>
          <w:sz w:val="20"/>
          <w:szCs w:val="20"/>
        </w:rPr>
        <w:t xml:space="preserve">Two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metabolites</w:t>
      </w:r>
      <w:r w:rsidR="00521A5A">
        <w:rPr>
          <w:rFonts w:ascii="Arial" w:hAnsi="Arial" w:cs="Arial" w:hint="eastAsia"/>
          <w:sz w:val="20"/>
          <w:szCs w:val="20"/>
        </w:rPr>
        <w:t>,</w:t>
      </w:r>
      <w:r w:rsidRPr="00B21AA4">
        <w:rPr>
          <w:rFonts w:ascii="Arial" w:hAnsi="Arial" w:cs="Arial"/>
          <w:sz w:val="20"/>
          <w:szCs w:val="20"/>
        </w:rPr>
        <w:t xml:space="preserve"> 4-hydroxyhippuric acid and 3-ureidopropionic acid (N-carbamoyl-β-alanine)</w:t>
      </w:r>
      <w:r w:rsidR="00521A5A">
        <w:rPr>
          <w:rFonts w:ascii="Arial" w:hAnsi="Arial" w:cs="Arial" w:hint="eastAsia"/>
          <w:sz w:val="20"/>
          <w:szCs w:val="20"/>
        </w:rPr>
        <w:t xml:space="preserve">, </w:t>
      </w:r>
      <w:r w:rsidRPr="00B21AA4">
        <w:rPr>
          <w:rFonts w:ascii="Arial" w:hAnsi="Arial" w:cs="Arial"/>
          <w:sz w:val="20"/>
          <w:szCs w:val="20"/>
        </w:rPr>
        <w:t>were connected through distinct microbial-host co-metabolic pathways. 4-Hydroxyhippuric acid is produced by microbial catabolism of dietary polyphenols to 4-hydroxybenzoic acid, followed by hepatic glycine conjugation, and is renally excreted via the organic anion transporter SLC22A6 (OAT1) [</w:t>
      </w:r>
      <w:proofErr w:type="spellStart"/>
      <w:r w:rsidRPr="00B21AA4">
        <w:rPr>
          <w:rFonts w:ascii="Arial" w:hAnsi="Arial" w:cs="Arial"/>
          <w:sz w:val="20"/>
          <w:szCs w:val="20"/>
        </w:rPr>
        <w:t>Scalbert</w:t>
      </w:r>
      <w:proofErr w:type="spellEnd"/>
      <w:r w:rsidRPr="00B21AA4">
        <w:rPr>
          <w:rFonts w:ascii="Arial" w:hAnsi="Arial" w:cs="Arial"/>
          <w:sz w:val="20"/>
          <w:szCs w:val="20"/>
        </w:rPr>
        <w:t xml:space="preserve"> A et al., Mol </w:t>
      </w:r>
      <w:proofErr w:type="spellStart"/>
      <w:r w:rsidRPr="00B21AA4">
        <w:rPr>
          <w:rFonts w:ascii="Arial" w:hAnsi="Arial" w:cs="Arial"/>
          <w:sz w:val="20"/>
          <w:szCs w:val="20"/>
        </w:rPr>
        <w:t>Nutr</w:t>
      </w:r>
      <w:proofErr w:type="spellEnd"/>
      <w:r w:rsidRPr="00B21AA4">
        <w:rPr>
          <w:rFonts w:ascii="Arial" w:hAnsi="Arial" w:cs="Arial"/>
          <w:sz w:val="20"/>
          <w:szCs w:val="20"/>
        </w:rPr>
        <w:t xml:space="preserve"> Food Res 2014]. Its elevation in the sustained-weight-loss group (Figure 2a) mirrors published findings that post-RYGB gut microbiome remodeling toward polyphenol-metabolizing taxa is associated with favorable metabolic outcomes [</w:t>
      </w:r>
      <w:proofErr w:type="spellStart"/>
      <w:r w:rsidRPr="00B21AA4">
        <w:rPr>
          <w:rFonts w:ascii="Arial" w:hAnsi="Arial" w:cs="Arial"/>
          <w:sz w:val="20"/>
          <w:szCs w:val="20"/>
        </w:rPr>
        <w:t>Tremaroli</w:t>
      </w:r>
      <w:proofErr w:type="spellEnd"/>
      <w:r w:rsidRPr="00B21AA4">
        <w:rPr>
          <w:rFonts w:ascii="Arial" w:hAnsi="Arial" w:cs="Arial"/>
          <w:sz w:val="20"/>
          <w:szCs w:val="20"/>
        </w:rPr>
        <w:t xml:space="preserve"> V et al., Cell </w:t>
      </w:r>
      <w:proofErr w:type="spellStart"/>
      <w:r w:rsidRPr="00B21AA4">
        <w:rPr>
          <w:rFonts w:ascii="Arial" w:hAnsi="Arial" w:cs="Arial"/>
          <w:sz w:val="20"/>
          <w:szCs w:val="20"/>
        </w:rPr>
        <w:t>Metab</w:t>
      </w:r>
      <w:proofErr w:type="spellEnd"/>
      <w:r w:rsidRPr="00B21AA4">
        <w:rPr>
          <w:rFonts w:ascii="Arial" w:hAnsi="Arial" w:cs="Arial"/>
          <w:sz w:val="20"/>
          <w:szCs w:val="20"/>
        </w:rPr>
        <w:t xml:space="preserve"> 2015; Cani PD &amp; Knauf C, Cell 2016]. 3-Ureidopropionic acid is an intermediate of pyrimidine catabolism by DPYD and DPYS, precursor to β-alanine through UPB1, and is contributed by both hepatic and intestinal microbial enzymes. In the network, β-alanine connects to the carnosine/histidine dipeptide system and to BAIBA through the KYAT3 transamination axis, providing a mechanistic link between nucleotide salvage, gut microbiome activity, and the exercised metabolic phenotype.</w:t>
      </w:r>
    </w:p>
    <w:p w14:paraId="72D0E0B7" w14:textId="77777777" w:rsidR="00B21AA4" w:rsidRPr="00B21AA4" w:rsidRDefault="00B21AA4" w:rsidP="00B21AA4">
      <w:pPr>
        <w:rPr>
          <w:rFonts w:ascii="Arial" w:hAnsi="Arial" w:cs="Arial"/>
          <w:sz w:val="20"/>
          <w:szCs w:val="20"/>
        </w:rPr>
      </w:pPr>
    </w:p>
    <w:p w14:paraId="71DCC2BC" w14:textId="365DB600" w:rsidR="00B21AA4" w:rsidRPr="00521A5A" w:rsidRDefault="00B21AA4" w:rsidP="00B21AA4">
      <w:pPr>
        <w:rPr>
          <w:rFonts w:ascii="Arial" w:hAnsi="Arial" w:cs="Arial"/>
          <w:b/>
          <w:bCs/>
          <w:sz w:val="20"/>
          <w:szCs w:val="20"/>
        </w:rPr>
      </w:pPr>
      <w:r w:rsidRPr="00521A5A">
        <w:rPr>
          <w:rFonts w:ascii="Arial" w:hAnsi="Arial" w:cs="Arial"/>
          <w:b/>
          <w:bCs/>
          <w:sz w:val="20"/>
          <w:szCs w:val="20"/>
        </w:rPr>
        <w:t xml:space="preserve">Collagen turnover and tissue remodeling (hydroxyproline hub). </w:t>
      </w:r>
    </w:p>
    <w:p w14:paraId="3D27A454" w14:textId="77777777" w:rsidR="00B21AA4" w:rsidRPr="00B21AA4" w:rsidRDefault="00B21AA4" w:rsidP="00B21AA4">
      <w:pPr>
        <w:rPr>
          <w:rFonts w:ascii="Arial" w:hAnsi="Arial" w:cs="Arial"/>
          <w:sz w:val="20"/>
          <w:szCs w:val="20"/>
        </w:rPr>
      </w:pPr>
      <w:r w:rsidRPr="00B21AA4">
        <w:rPr>
          <w:rFonts w:ascii="Arial" w:hAnsi="Arial" w:cs="Arial"/>
          <w:sz w:val="20"/>
          <w:szCs w:val="20"/>
        </w:rPr>
        <w:t>Hydroxyproline, which was higher in the sustained-weight-loss group (Figure 2a), was connected in the network to a collagen catabolism subgraph comprising PRODH, ALDH4A1, HOGA1, and P4HA1. These enzymes funnel hydroxyproline carbon into the TCA cycle through glutamate and succinate intermediates. The network also connected hydroxyproline metabolism to EGLN1, the HIF prolyl-hydroxylase that uses the same 2-oxoglutarate/Fe²</w:t>
      </w:r>
      <w:r w:rsidRPr="00B21AA4">
        <w:rPr>
          <w:rFonts w:ascii="Cambria Math" w:hAnsi="Cambria Math" w:cs="Cambria Math"/>
          <w:sz w:val="20"/>
          <w:szCs w:val="20"/>
        </w:rPr>
        <w:t>⁺</w:t>
      </w:r>
      <w:r w:rsidRPr="00B21AA4">
        <w:rPr>
          <w:rFonts w:ascii="Arial" w:hAnsi="Arial" w:cs="Arial"/>
          <w:sz w:val="20"/>
          <w:szCs w:val="20"/>
        </w:rPr>
        <w:t>/ascorbate cofactor chemistry as collagen hydroxylation, thereby linking collagen turnover to cellular oxygen sensing and HIF-1α stability [Phang JM, Front Oncol 2019]. Higher circulating hydroxyproline following effective RYGB likely reflects the extensive adipose tissue involution and extracellular matrix remodeling that accompanies dramatic fat mass reduction. Sustained elevations in hydroxyproline may therefore serve as a proxy for ongoing tissue remodeling capacity, distinguishing patients with active post-surgical adaptation from those in whom remodeling has stalled — potentially contributing to weight plateau and subsequent regain.</w:t>
      </w:r>
    </w:p>
    <w:p w14:paraId="34D7F1EC" w14:textId="77777777" w:rsidR="00B21AA4" w:rsidRPr="00B21AA4" w:rsidRDefault="00B21AA4" w:rsidP="00B21AA4">
      <w:pPr>
        <w:rPr>
          <w:rFonts w:ascii="Arial" w:hAnsi="Arial" w:cs="Arial"/>
          <w:sz w:val="20"/>
          <w:szCs w:val="20"/>
        </w:rPr>
      </w:pPr>
    </w:p>
    <w:p w14:paraId="5DE26638" w14:textId="38728F12" w:rsidR="00B21AA4" w:rsidRPr="00521A5A" w:rsidRDefault="00B21AA4" w:rsidP="00B21AA4">
      <w:pPr>
        <w:rPr>
          <w:rFonts w:ascii="Arial" w:hAnsi="Arial" w:cs="Arial"/>
          <w:b/>
          <w:bCs/>
          <w:sz w:val="20"/>
          <w:szCs w:val="20"/>
        </w:rPr>
      </w:pPr>
      <w:r w:rsidRPr="00521A5A">
        <w:rPr>
          <w:rFonts w:ascii="Arial" w:hAnsi="Arial" w:cs="Arial"/>
          <w:b/>
          <w:bCs/>
          <w:sz w:val="20"/>
          <w:szCs w:val="20"/>
        </w:rPr>
        <w:t xml:space="preserve">Lipid peroxidation, PPAR signaling, and ferroptosis (13-HODE, PC 34:2 hub). </w:t>
      </w:r>
    </w:p>
    <w:p w14:paraId="5178577F" w14:textId="77777777" w:rsidR="00B21AA4" w:rsidRPr="00B21AA4" w:rsidRDefault="00B21AA4" w:rsidP="00B21AA4">
      <w:pPr>
        <w:rPr>
          <w:rFonts w:ascii="Arial" w:hAnsi="Arial" w:cs="Arial"/>
          <w:sz w:val="20"/>
          <w:szCs w:val="20"/>
        </w:rPr>
      </w:pPr>
      <w:r w:rsidRPr="00B21AA4">
        <w:rPr>
          <w:rFonts w:ascii="Arial" w:hAnsi="Arial" w:cs="Arial"/>
          <w:sz w:val="20"/>
          <w:szCs w:val="20"/>
        </w:rPr>
        <w:t xml:space="preserve">13-HODE (13-hydroxy-9,11-octadecadienoic acid) was produced in the network by ALOX15 and ALOX15B (15-lipoxygenase isoforms) from linoleic acid substrate, and connected downstream to PPARG as an endogenous ligand, GPX4 as a ferroptosis regulator, and the eicosanoid/lipoxygenase pathway (WP4721) [Kühn H et al., Prog Lipid Res 2015]. PPARG, a master transcriptional regulator of adipogenesis and lipid storage, was directly associated in the network with obesity, type 2 diabetes, and MASLD. GPX4, which detoxifies lipid hydroperoxides to prevent </w:t>
      </w:r>
      <w:proofErr w:type="spellStart"/>
      <w:r w:rsidRPr="00B21AA4">
        <w:rPr>
          <w:rFonts w:ascii="Arial" w:hAnsi="Arial" w:cs="Arial"/>
          <w:sz w:val="20"/>
          <w:szCs w:val="20"/>
        </w:rPr>
        <w:t>ferroptotic</w:t>
      </w:r>
      <w:proofErr w:type="spellEnd"/>
      <w:r w:rsidRPr="00B21AA4">
        <w:rPr>
          <w:rFonts w:ascii="Arial" w:hAnsi="Arial" w:cs="Arial"/>
          <w:sz w:val="20"/>
          <w:szCs w:val="20"/>
        </w:rPr>
        <w:t xml:space="preserve"> cell death, was placed at the intersection of lipoxygenase activity and cellular redox status [Dixon SJ et al., Cell 2012]. The network thus frames 13-HODE as a molecular bridge between linoleic acid handling, PPARG-driven adipocyte biology, and redox-dependent cell survival — all processes that are fundamentally reshaped during the rapid adipose mobilization that follows RYGB. PC 34:2 (phosphatidylcholine 34:2), the sole membrane lipid in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reflected hepatic phospholipid remodeling and lipoprotein compositional changes, which are consistently observed after bariatric surgery and correlate with improvements in </w:t>
      </w:r>
      <w:proofErr w:type="spellStart"/>
      <w:r w:rsidRPr="00B21AA4">
        <w:rPr>
          <w:rFonts w:ascii="Arial" w:hAnsi="Arial" w:cs="Arial"/>
          <w:sz w:val="20"/>
          <w:szCs w:val="20"/>
        </w:rPr>
        <w:t>steatotic</w:t>
      </w:r>
      <w:proofErr w:type="spellEnd"/>
      <w:r w:rsidRPr="00B21AA4">
        <w:rPr>
          <w:rFonts w:ascii="Arial" w:hAnsi="Arial" w:cs="Arial"/>
          <w:sz w:val="20"/>
          <w:szCs w:val="20"/>
        </w:rPr>
        <w:t xml:space="preserve"> liver disease [Albaugh VL et al., Cell Rep Med 2022].</w:t>
      </w:r>
    </w:p>
    <w:p w14:paraId="10C18539" w14:textId="77777777" w:rsidR="00B21AA4" w:rsidRPr="00B21AA4" w:rsidRDefault="00B21AA4" w:rsidP="00B21AA4">
      <w:pPr>
        <w:rPr>
          <w:rFonts w:ascii="Arial" w:hAnsi="Arial" w:cs="Arial"/>
          <w:sz w:val="20"/>
          <w:szCs w:val="20"/>
        </w:rPr>
      </w:pPr>
    </w:p>
    <w:p w14:paraId="59CBBF22" w14:textId="441BE781" w:rsidR="00B21AA4" w:rsidRPr="00521A5A" w:rsidRDefault="00B21AA4" w:rsidP="00B21AA4">
      <w:pPr>
        <w:rPr>
          <w:rFonts w:ascii="Arial" w:hAnsi="Arial" w:cs="Arial"/>
          <w:b/>
          <w:bCs/>
          <w:sz w:val="20"/>
          <w:szCs w:val="20"/>
        </w:rPr>
      </w:pPr>
      <w:proofErr w:type="spellStart"/>
      <w:r w:rsidRPr="00521A5A">
        <w:rPr>
          <w:rFonts w:ascii="Arial" w:hAnsi="Arial" w:cs="Arial"/>
          <w:b/>
          <w:bCs/>
          <w:sz w:val="20"/>
          <w:szCs w:val="20"/>
        </w:rPr>
        <w:lastRenderedPageBreak/>
        <w:t>Epitranscriptomic</w:t>
      </w:r>
      <w:proofErr w:type="spellEnd"/>
      <w:r w:rsidRPr="00521A5A">
        <w:rPr>
          <w:rFonts w:ascii="Arial" w:hAnsi="Arial" w:cs="Arial"/>
          <w:b/>
          <w:bCs/>
          <w:sz w:val="20"/>
          <w:szCs w:val="20"/>
        </w:rPr>
        <w:t xml:space="preserve"> and NAD+ metabolism (1-methylguanosine hub). </w:t>
      </w:r>
    </w:p>
    <w:p w14:paraId="787072DC" w14:textId="77777777" w:rsidR="00B21AA4" w:rsidRPr="00B21AA4" w:rsidRDefault="00B21AA4" w:rsidP="00B21AA4">
      <w:pPr>
        <w:rPr>
          <w:rFonts w:ascii="Arial" w:hAnsi="Arial" w:cs="Arial"/>
          <w:sz w:val="20"/>
          <w:szCs w:val="20"/>
        </w:rPr>
      </w:pPr>
      <w:r w:rsidRPr="00B21AA4">
        <w:rPr>
          <w:rFonts w:ascii="Arial" w:hAnsi="Arial" w:cs="Arial"/>
          <w:sz w:val="20"/>
          <w:szCs w:val="20"/>
        </w:rPr>
        <w:t xml:space="preserve">1-Methylguanosine, a methylated nucleoside released during RNA turnover, occupied a position in the network linking RNA modification biology to SIRT1, the NAD+-dependent deacetylase directly associated in the network with obesity, type 2 diabetes, and </w:t>
      </w:r>
      <w:proofErr w:type="spellStart"/>
      <w:r w:rsidRPr="00B21AA4">
        <w:rPr>
          <w:rFonts w:ascii="Arial" w:hAnsi="Arial" w:cs="Arial"/>
          <w:sz w:val="20"/>
          <w:szCs w:val="20"/>
        </w:rPr>
        <w:t>steatotic</w:t>
      </w:r>
      <w:proofErr w:type="spellEnd"/>
      <w:r w:rsidRPr="00B21AA4">
        <w:rPr>
          <w:rFonts w:ascii="Arial" w:hAnsi="Arial" w:cs="Arial"/>
          <w:sz w:val="20"/>
          <w:szCs w:val="20"/>
        </w:rPr>
        <w:t xml:space="preserve"> liver disease. SIRT1 participates in the regulation of bile acid biosynthesis, NAFLD (WP4396), and cholesterol homeostasis, and is activated by the rising NAD+/NADH ratio that accompanies caloric restriction and surgical weight loss [</w:t>
      </w:r>
      <w:proofErr w:type="spellStart"/>
      <w:r w:rsidRPr="00B21AA4">
        <w:rPr>
          <w:rFonts w:ascii="Arial" w:hAnsi="Arial" w:cs="Arial"/>
          <w:sz w:val="20"/>
          <w:szCs w:val="20"/>
        </w:rPr>
        <w:t>Chalkiadaki</w:t>
      </w:r>
      <w:proofErr w:type="spellEnd"/>
      <w:r w:rsidRPr="00B21AA4">
        <w:rPr>
          <w:rFonts w:ascii="Arial" w:hAnsi="Arial" w:cs="Arial"/>
          <w:sz w:val="20"/>
          <w:szCs w:val="20"/>
        </w:rPr>
        <w:t xml:space="preserve"> A &amp; Guarente L, Nat Rev Mol Cell Biol 2012; Imai S &amp; Guarente L, Trends Cell Biol 2014]. 1-Methylguanosine levels reflect the rate of methylated RNA catabolism, providing a readout of post-transcriptional regulatory activity that responds to the nutrient and hormonal milieu established after surgery.</w:t>
      </w:r>
    </w:p>
    <w:p w14:paraId="0CF35743" w14:textId="77777777" w:rsidR="00B21AA4" w:rsidRPr="00B21AA4" w:rsidRDefault="00B21AA4" w:rsidP="00B21AA4">
      <w:pPr>
        <w:rPr>
          <w:rFonts w:ascii="Arial" w:hAnsi="Arial" w:cs="Arial"/>
          <w:sz w:val="20"/>
          <w:szCs w:val="20"/>
        </w:rPr>
      </w:pPr>
    </w:p>
    <w:p w14:paraId="2A36B385" w14:textId="14A898B8" w:rsidR="007D449E" w:rsidRPr="00B3415B" w:rsidRDefault="00B21AA4" w:rsidP="00B21AA4">
      <w:pPr>
        <w:rPr>
          <w:rFonts w:ascii="Arial" w:hAnsi="Arial" w:cs="Arial"/>
          <w:b/>
          <w:bCs/>
          <w:sz w:val="20"/>
          <w:szCs w:val="20"/>
        </w:rPr>
      </w:pPr>
      <w:r w:rsidRPr="00B3415B">
        <w:rPr>
          <w:rFonts w:ascii="Arial" w:hAnsi="Arial" w:cs="Arial"/>
          <w:b/>
          <w:bCs/>
          <w:sz w:val="20"/>
          <w:szCs w:val="20"/>
        </w:rPr>
        <w:t>Network convergence points</w:t>
      </w:r>
    </w:p>
    <w:p w14:paraId="6E676A0C" w14:textId="7D8D20F8" w:rsidR="00B21AA4" w:rsidRPr="00B21AA4" w:rsidRDefault="00B21AA4" w:rsidP="00B21AA4">
      <w:pPr>
        <w:rPr>
          <w:rFonts w:ascii="Arial" w:hAnsi="Arial" w:cs="Arial"/>
          <w:sz w:val="20"/>
          <w:szCs w:val="20"/>
        </w:rPr>
      </w:pPr>
      <w:r w:rsidRPr="00B21AA4">
        <w:rPr>
          <w:rFonts w:ascii="Arial" w:hAnsi="Arial" w:cs="Arial"/>
          <w:sz w:val="20"/>
          <w:szCs w:val="20"/>
        </w:rPr>
        <w:t xml:space="preserve">Several genes emerged as cross-module hubs (Figure 2d). GOT2 (glutamic-oxaloacetic transaminase 2) bridged the kynurenine and hydroxyproline catabolism modules while also operating in the malate–aspartate shuttle — a true metabolic integrator linking inflammation, collagen remodeling, and mitochondrial redox balance. NOS3 converged homoarginine-derived vascular signaling with leptin-driven adipokine biology. NR1H4/FXR bridged bile acid conjugation (glucuronate) with GLP-1 (GCG, GLP1R) and hepatic lipid handling. PPARA and PPARG jointly regulated fatty acid oxidation (malonate, BAIBA, 3-methyladipate) and oxidized lipid signaling (13-HODE), positioning the PPAR axis as a master coordinator of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metabolite panel. Eighteen of the 60 network genes were directly associated with obesity in curated disease networks, and ten were associated with type 2 diabetes mellitus, underscoring the clinical relevance of the identified mechanistic framework.</w:t>
      </w:r>
    </w:p>
    <w:p w14:paraId="105C3DDB" w14:textId="77777777" w:rsidR="00B21AA4" w:rsidRPr="00B21AA4" w:rsidRDefault="00B21AA4" w:rsidP="00B21AA4">
      <w:pPr>
        <w:rPr>
          <w:rFonts w:ascii="Arial" w:hAnsi="Arial" w:cs="Arial"/>
          <w:sz w:val="20"/>
          <w:szCs w:val="20"/>
        </w:rPr>
      </w:pPr>
    </w:p>
    <w:p w14:paraId="3DBDB8D3" w14:textId="77777777" w:rsidR="00B21AA4" w:rsidRPr="00B21AA4" w:rsidRDefault="00B21AA4" w:rsidP="00B21AA4">
      <w:pPr>
        <w:rPr>
          <w:rFonts w:ascii="Arial" w:hAnsi="Arial" w:cs="Arial"/>
          <w:sz w:val="20"/>
          <w:szCs w:val="20"/>
        </w:rPr>
      </w:pPr>
      <w:r w:rsidRPr="00B21AA4">
        <w:rPr>
          <w:rFonts w:ascii="Arial" w:hAnsi="Arial" w:cs="Arial"/>
          <w:sz w:val="20"/>
          <w:szCs w:val="20"/>
        </w:rPr>
        <w:t xml:space="preserve">Taken together, the network analysis demonstrates that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captures a preoperative metabolic phenotype reflecting the coordinated state of at least eight physiological systems — inflammatory tone, fatty acid oxidation, bile acid signaling, vascular function, gut microbiome activity, tissue remodeling, lipid homeostasis, and </w:t>
      </w:r>
      <w:proofErr w:type="spellStart"/>
      <w:r w:rsidRPr="00B21AA4">
        <w:rPr>
          <w:rFonts w:ascii="Arial" w:hAnsi="Arial" w:cs="Arial"/>
          <w:sz w:val="20"/>
          <w:szCs w:val="20"/>
        </w:rPr>
        <w:t>epitranscriptomic</w:t>
      </w:r>
      <w:proofErr w:type="spellEnd"/>
      <w:r w:rsidRPr="00B21AA4">
        <w:rPr>
          <w:rFonts w:ascii="Arial" w:hAnsi="Arial" w:cs="Arial"/>
          <w:sz w:val="20"/>
          <w:szCs w:val="20"/>
        </w:rPr>
        <w:t xml:space="preserve"> regulation — all of which must undergo sustained adaptation for long-term weight loss maintenance after RYGB.</w:t>
      </w:r>
    </w:p>
    <w:p w14:paraId="32684E52" w14:textId="77777777" w:rsidR="00B21AA4" w:rsidRPr="00B21AA4" w:rsidRDefault="00B21AA4" w:rsidP="00B21AA4">
      <w:pPr>
        <w:rPr>
          <w:rFonts w:ascii="Arial" w:hAnsi="Arial" w:cs="Arial"/>
          <w:sz w:val="20"/>
          <w:szCs w:val="20"/>
        </w:rPr>
      </w:pPr>
    </w:p>
    <w:p w14:paraId="66916732" w14:textId="77777777" w:rsidR="00B21AA4" w:rsidRPr="00B21AA4" w:rsidRDefault="00B21AA4" w:rsidP="00B21AA4">
      <w:pPr>
        <w:rPr>
          <w:rFonts w:ascii="Arial" w:hAnsi="Arial" w:cs="Arial"/>
          <w:sz w:val="20"/>
          <w:szCs w:val="20"/>
        </w:rPr>
      </w:pPr>
      <w:r w:rsidRPr="00B21AA4">
        <w:rPr>
          <w:rFonts w:ascii="Arial" w:hAnsi="Arial" w:cs="Arial"/>
          <w:sz w:val="20"/>
          <w:szCs w:val="20"/>
        </w:rPr>
        <w:t>DISCUSSION</w:t>
      </w:r>
    </w:p>
    <w:p w14:paraId="7330C6F9" w14:textId="77777777" w:rsidR="00B21AA4" w:rsidRPr="00B21AA4" w:rsidRDefault="00B21AA4" w:rsidP="00B21AA4">
      <w:pPr>
        <w:rPr>
          <w:rFonts w:ascii="Arial" w:hAnsi="Arial" w:cs="Arial"/>
          <w:sz w:val="20"/>
          <w:szCs w:val="20"/>
        </w:rPr>
      </w:pPr>
    </w:p>
    <w:p w14:paraId="314E282F" w14:textId="77777777" w:rsidR="00B21AA4" w:rsidRPr="00B21AA4" w:rsidRDefault="00B21AA4" w:rsidP="00B21AA4">
      <w:pPr>
        <w:rPr>
          <w:rFonts w:ascii="Arial" w:hAnsi="Arial" w:cs="Arial"/>
          <w:sz w:val="20"/>
          <w:szCs w:val="20"/>
        </w:rPr>
      </w:pPr>
      <w:r w:rsidRPr="00B21AA4">
        <w:rPr>
          <w:rFonts w:ascii="Arial" w:hAnsi="Arial" w:cs="Arial"/>
          <w:sz w:val="20"/>
          <w:szCs w:val="20"/>
        </w:rPr>
        <w:t xml:space="preserve">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Encodes a Multi-System Metabolic Phenotype That Predicts Bariatric Surgery Resilience</w:t>
      </w:r>
    </w:p>
    <w:p w14:paraId="1E6851F1" w14:textId="77777777" w:rsidR="00B21AA4" w:rsidRPr="00B21AA4" w:rsidRDefault="00B21AA4" w:rsidP="00B21AA4">
      <w:pPr>
        <w:rPr>
          <w:rFonts w:ascii="Arial" w:hAnsi="Arial" w:cs="Arial"/>
          <w:sz w:val="20"/>
          <w:szCs w:val="20"/>
        </w:rPr>
      </w:pPr>
    </w:p>
    <w:p w14:paraId="231C4D3D" w14:textId="77777777" w:rsidR="00B21AA4" w:rsidRPr="00B21AA4" w:rsidRDefault="00B21AA4" w:rsidP="00B21AA4">
      <w:pPr>
        <w:rPr>
          <w:rFonts w:ascii="Arial" w:hAnsi="Arial" w:cs="Arial"/>
          <w:sz w:val="20"/>
          <w:szCs w:val="20"/>
        </w:rPr>
      </w:pPr>
      <w:r w:rsidRPr="00B21AA4">
        <w:rPr>
          <w:rFonts w:ascii="Arial" w:hAnsi="Arial" w:cs="Arial"/>
          <w:sz w:val="20"/>
          <w:szCs w:val="20"/>
        </w:rPr>
        <w:t xml:space="preserve">The network analysis presented in Figure 2d reframes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from a statistical construct into a mechanistic portrait of pre-surgical metabolic readiness. By anchoring 13 circulating metabolites in a knowledge graph spanning hundreds of gene–pathway–disease relationships, our analysis reveals that the distinction between sustained weight loss and weight regain after RYGB is embedded in the simultaneous dysregulation of multiple biological axes, not in any single pathway. We discuss the major biological themes and their implications below.</w:t>
      </w:r>
    </w:p>
    <w:p w14:paraId="0FCBE9F7" w14:textId="77777777" w:rsidR="00B21AA4" w:rsidRPr="00B21AA4" w:rsidRDefault="00B21AA4" w:rsidP="00B21AA4">
      <w:pPr>
        <w:rPr>
          <w:rFonts w:ascii="Arial" w:hAnsi="Arial" w:cs="Arial"/>
          <w:sz w:val="20"/>
          <w:szCs w:val="20"/>
        </w:rPr>
      </w:pPr>
    </w:p>
    <w:p w14:paraId="1CDB632D" w14:textId="77777777" w:rsidR="00B21AA4" w:rsidRPr="00B21AA4" w:rsidRDefault="00B21AA4" w:rsidP="00B21AA4">
      <w:pPr>
        <w:rPr>
          <w:rFonts w:ascii="Arial" w:hAnsi="Arial" w:cs="Arial"/>
          <w:sz w:val="20"/>
          <w:szCs w:val="20"/>
        </w:rPr>
      </w:pPr>
      <w:r w:rsidRPr="00B21AA4">
        <w:rPr>
          <w:rFonts w:ascii="Arial" w:hAnsi="Arial" w:cs="Arial"/>
          <w:sz w:val="20"/>
          <w:szCs w:val="20"/>
        </w:rPr>
        <w:lastRenderedPageBreak/>
        <w:t>The kynurenine pathway as a biomarker of adipose inflammation. Kynurenine was the most stably selected metabolite across bootstrap iterations and the most densely connected node in the network. IDO1-driven tryptophan catabolism is induced by interferon-γ and other pro-inflammatory cytokines produced by adipose tissue macrophages in obesity [</w:t>
      </w:r>
      <w:proofErr w:type="spellStart"/>
      <w:r w:rsidRPr="00B21AA4">
        <w:rPr>
          <w:rFonts w:ascii="Arial" w:hAnsi="Arial" w:cs="Arial"/>
          <w:sz w:val="20"/>
          <w:szCs w:val="20"/>
        </w:rPr>
        <w:t>Hotamisligil</w:t>
      </w:r>
      <w:proofErr w:type="spellEnd"/>
      <w:r w:rsidRPr="00B21AA4">
        <w:rPr>
          <w:rFonts w:ascii="Arial" w:hAnsi="Arial" w:cs="Arial"/>
          <w:sz w:val="20"/>
          <w:szCs w:val="20"/>
        </w:rPr>
        <w:t xml:space="preserve"> GS, Nature 2006; Cervenka I et al., Science 2017]. Evidence from human and rodent studies consistently links elevated kynurenine with insulin resistance, worse glycemic control, and incident type 2 diabetes [</w:t>
      </w:r>
      <w:proofErr w:type="spellStart"/>
      <w:r w:rsidRPr="00B21AA4">
        <w:rPr>
          <w:rFonts w:ascii="Arial" w:hAnsi="Arial" w:cs="Arial"/>
          <w:sz w:val="20"/>
          <w:szCs w:val="20"/>
        </w:rPr>
        <w:t>Favennec</w:t>
      </w:r>
      <w:proofErr w:type="spellEnd"/>
      <w:r w:rsidRPr="00B21AA4">
        <w:rPr>
          <w:rFonts w:ascii="Arial" w:hAnsi="Arial" w:cs="Arial"/>
          <w:sz w:val="20"/>
          <w:szCs w:val="20"/>
        </w:rPr>
        <w:t xml:space="preserve"> M et al., Gut 2015; </w:t>
      </w:r>
      <w:proofErr w:type="spellStart"/>
      <w:r w:rsidRPr="00B21AA4">
        <w:rPr>
          <w:rFonts w:ascii="Arial" w:hAnsi="Arial" w:cs="Arial"/>
          <w:sz w:val="20"/>
          <w:szCs w:val="20"/>
        </w:rPr>
        <w:t>Oxenkrug</w:t>
      </w:r>
      <w:proofErr w:type="spellEnd"/>
      <w:r w:rsidRPr="00B21AA4">
        <w:rPr>
          <w:rFonts w:ascii="Arial" w:hAnsi="Arial" w:cs="Arial"/>
          <w:sz w:val="20"/>
          <w:szCs w:val="20"/>
        </w:rPr>
        <w:t xml:space="preserve"> GF, Ann N Y Acad Sci 2010]. After RYGB, the expected reduction in adipose tissue mass should attenuate the inflammatory signal driving IDO1, lowering circulating kynurenine. Our finding that higher preoperative kynurenine predicts weight regain suggests that patients who enter surgery with more entrenched adipose inflammation — whether from longer-duration obesity, greater macrophage infiltration, or attenuated immunoregulatory capacity — may be less able to resolve the inflammatory phenotype and thus less capable of maintaining the metabolic reset that surgery initiates. This interpretation is consistent with evidence that bariatric surgery durably reduces systemic inflammation only in a subset of patients and that inflammatory markers correlate with post-operative weight trajectories [</w:t>
      </w:r>
      <w:proofErr w:type="spellStart"/>
      <w:r w:rsidRPr="00B21AA4">
        <w:rPr>
          <w:rFonts w:ascii="Arial" w:hAnsi="Arial" w:cs="Arial"/>
          <w:sz w:val="20"/>
          <w:szCs w:val="20"/>
        </w:rPr>
        <w:t>Camastra</w:t>
      </w:r>
      <w:proofErr w:type="spellEnd"/>
      <w:r w:rsidRPr="00B21AA4">
        <w:rPr>
          <w:rFonts w:ascii="Arial" w:hAnsi="Arial" w:cs="Arial"/>
          <w:sz w:val="20"/>
          <w:szCs w:val="20"/>
        </w:rPr>
        <w:t xml:space="preserve"> S et al., </w:t>
      </w:r>
      <w:proofErr w:type="spellStart"/>
      <w:r w:rsidRPr="00B21AA4">
        <w:rPr>
          <w:rFonts w:ascii="Arial" w:hAnsi="Arial" w:cs="Arial"/>
          <w:sz w:val="20"/>
          <w:szCs w:val="20"/>
        </w:rPr>
        <w:t>Diabetologia</w:t>
      </w:r>
      <w:proofErr w:type="spellEnd"/>
      <w:r w:rsidRPr="00B21AA4">
        <w:rPr>
          <w:rFonts w:ascii="Arial" w:hAnsi="Arial" w:cs="Arial"/>
          <w:sz w:val="20"/>
          <w:szCs w:val="20"/>
        </w:rPr>
        <w:t xml:space="preserve"> 2011; van de Laar AW et al., </w:t>
      </w:r>
      <w:proofErr w:type="spellStart"/>
      <w:r w:rsidRPr="00B21AA4">
        <w:rPr>
          <w:rFonts w:ascii="Arial" w:hAnsi="Arial" w:cs="Arial"/>
          <w:sz w:val="20"/>
          <w:szCs w:val="20"/>
        </w:rPr>
        <w:t>Obes</w:t>
      </w:r>
      <w:proofErr w:type="spellEnd"/>
      <w:r w:rsidRPr="00B21AA4">
        <w:rPr>
          <w:rFonts w:ascii="Arial" w:hAnsi="Arial" w:cs="Arial"/>
          <w:sz w:val="20"/>
          <w:szCs w:val="20"/>
        </w:rPr>
        <w:t xml:space="preserve"> Surg 2021]. Critically, because IDO1 activity diverts tryptophan away from serotonin synthesis, chronically elevated kynurenine may also influence appetite and mood pathways through the gut–brain axis, providing a neurobiological mechanism by which inflammation contributes to behavioral susceptibility to weight regain [Jenkins TA et al., Nutrients 2016].</w:t>
      </w:r>
    </w:p>
    <w:p w14:paraId="277882E6" w14:textId="77777777" w:rsidR="00B21AA4" w:rsidRPr="00B21AA4" w:rsidRDefault="00B21AA4" w:rsidP="00B21AA4">
      <w:pPr>
        <w:rPr>
          <w:rFonts w:ascii="Arial" w:hAnsi="Arial" w:cs="Arial"/>
          <w:sz w:val="20"/>
          <w:szCs w:val="20"/>
        </w:rPr>
      </w:pPr>
    </w:p>
    <w:p w14:paraId="55428B51" w14:textId="77777777" w:rsidR="00B21AA4" w:rsidRPr="00B21AA4" w:rsidRDefault="00B21AA4" w:rsidP="00B21AA4">
      <w:pPr>
        <w:rPr>
          <w:rFonts w:ascii="Arial" w:hAnsi="Arial" w:cs="Arial"/>
          <w:sz w:val="20"/>
          <w:szCs w:val="20"/>
        </w:rPr>
      </w:pPr>
      <w:r w:rsidRPr="00B21AA4">
        <w:rPr>
          <w:rFonts w:ascii="Arial" w:hAnsi="Arial" w:cs="Arial"/>
          <w:sz w:val="20"/>
          <w:szCs w:val="20"/>
        </w:rPr>
        <w:t xml:space="preserve">The malonate–CPT1A–PPARA axis as a readout of fat-burning capacity. Malonyl-CoA, of which malonate is the free-acid metabolic counterpart, is the master allosteric inhibitor of the CPT1A/CPT1B carnitine shuttle, through which long-chain fatty acids enter the mitochondrial matrix for β-oxidation [McGarry JD &amp; Brown NF, </w:t>
      </w:r>
      <w:proofErr w:type="spellStart"/>
      <w:r w:rsidRPr="00B21AA4">
        <w:rPr>
          <w:rFonts w:ascii="Arial" w:hAnsi="Arial" w:cs="Arial"/>
          <w:sz w:val="20"/>
          <w:szCs w:val="20"/>
        </w:rPr>
        <w:t>Eur</w:t>
      </w:r>
      <w:proofErr w:type="spellEnd"/>
      <w:r w:rsidRPr="00B21AA4">
        <w:rPr>
          <w:rFonts w:ascii="Arial" w:hAnsi="Arial" w:cs="Arial"/>
          <w:sz w:val="20"/>
          <w:szCs w:val="20"/>
        </w:rPr>
        <w:t xml:space="preserve"> J </w:t>
      </w:r>
      <w:proofErr w:type="spellStart"/>
      <w:r w:rsidRPr="00B21AA4">
        <w:rPr>
          <w:rFonts w:ascii="Arial" w:hAnsi="Arial" w:cs="Arial"/>
          <w:sz w:val="20"/>
          <w:szCs w:val="20"/>
        </w:rPr>
        <w:t>Biochem</w:t>
      </w:r>
      <w:proofErr w:type="spellEnd"/>
      <w:r w:rsidRPr="00B21AA4">
        <w:rPr>
          <w:rFonts w:ascii="Arial" w:hAnsi="Arial" w:cs="Arial"/>
          <w:sz w:val="20"/>
          <w:szCs w:val="20"/>
        </w:rPr>
        <w:t xml:space="preserve"> 1997]. In the hypothalamus, rising malonyl-CoA signals energy surplus and suppresses fatty acid oxidation while promoting food intake — a central mechanism by which AMPK-dependent nutrient sensing governs energy balance [Seoane-Collazo P et al., Nat </w:t>
      </w:r>
      <w:proofErr w:type="spellStart"/>
      <w:r w:rsidRPr="00B21AA4">
        <w:rPr>
          <w:rFonts w:ascii="Arial" w:hAnsi="Arial" w:cs="Arial"/>
          <w:sz w:val="20"/>
          <w:szCs w:val="20"/>
        </w:rPr>
        <w:t>Metab</w:t>
      </w:r>
      <w:proofErr w:type="spellEnd"/>
      <w:r w:rsidRPr="00B21AA4">
        <w:rPr>
          <w:rFonts w:ascii="Arial" w:hAnsi="Arial" w:cs="Arial"/>
          <w:sz w:val="20"/>
          <w:szCs w:val="20"/>
        </w:rPr>
        <w:t xml:space="preserve"> 2020]. RYGB durably reduces fasting malonyl-CoA and increases PPARA-dependent fatty acid oxidation gene expression in liver and skeletal muscle [Lim EL et al., </w:t>
      </w:r>
      <w:proofErr w:type="spellStart"/>
      <w:r w:rsidRPr="00B21AA4">
        <w:rPr>
          <w:rFonts w:ascii="Arial" w:hAnsi="Arial" w:cs="Arial"/>
          <w:sz w:val="20"/>
          <w:szCs w:val="20"/>
        </w:rPr>
        <w:t>Diabetologia</w:t>
      </w:r>
      <w:proofErr w:type="spellEnd"/>
      <w:r w:rsidRPr="00B21AA4">
        <w:rPr>
          <w:rFonts w:ascii="Arial" w:hAnsi="Arial" w:cs="Arial"/>
          <w:sz w:val="20"/>
          <w:szCs w:val="20"/>
        </w:rPr>
        <w:t xml:space="preserve"> 2011; Madsbad S et al., </w:t>
      </w:r>
      <w:proofErr w:type="spellStart"/>
      <w:r w:rsidRPr="00B21AA4">
        <w:rPr>
          <w:rFonts w:ascii="Arial" w:hAnsi="Arial" w:cs="Arial"/>
          <w:sz w:val="20"/>
          <w:szCs w:val="20"/>
        </w:rPr>
        <w:t>Diabetologia</w:t>
      </w:r>
      <w:proofErr w:type="spellEnd"/>
      <w:r w:rsidRPr="00B21AA4">
        <w:rPr>
          <w:rFonts w:ascii="Arial" w:hAnsi="Arial" w:cs="Arial"/>
          <w:sz w:val="20"/>
          <w:szCs w:val="20"/>
        </w:rPr>
        <w:t xml:space="preserve"> 2014]. Our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captures this axis through malonate (a TCA cycle/malonyl-CoA proxy), BAIBA (a PPARA activator and myokine), and 3-methyladipate/</w:t>
      </w:r>
      <w:proofErr w:type="spellStart"/>
      <w:r w:rsidRPr="00B21AA4">
        <w:rPr>
          <w:rFonts w:ascii="Arial" w:hAnsi="Arial" w:cs="Arial"/>
          <w:sz w:val="20"/>
          <w:szCs w:val="20"/>
        </w:rPr>
        <w:t>pimelate</w:t>
      </w:r>
      <w:proofErr w:type="spellEnd"/>
      <w:r w:rsidRPr="00B21AA4">
        <w:rPr>
          <w:rFonts w:ascii="Arial" w:hAnsi="Arial" w:cs="Arial"/>
          <w:sz w:val="20"/>
          <w:szCs w:val="20"/>
        </w:rPr>
        <w:t xml:space="preserve"> (products of fatty acid ω-oxidation). BAIBA merits particular attention: it is released by skeletal muscle during exercise in a PGC-1α–PPARA–dependent manner and activates brown adipose tissue thermogenesis through UCP2 and UCP1 [Boström P et al., Nature 2012; Roberts MD et al., Cell </w:t>
      </w:r>
      <w:proofErr w:type="spellStart"/>
      <w:r w:rsidRPr="00B21AA4">
        <w:rPr>
          <w:rFonts w:ascii="Arial" w:hAnsi="Arial" w:cs="Arial"/>
          <w:sz w:val="20"/>
          <w:szCs w:val="20"/>
        </w:rPr>
        <w:t>Metab</w:t>
      </w:r>
      <w:proofErr w:type="spellEnd"/>
      <w:r w:rsidRPr="00B21AA4">
        <w:rPr>
          <w:rFonts w:ascii="Arial" w:hAnsi="Arial" w:cs="Arial"/>
          <w:sz w:val="20"/>
          <w:szCs w:val="20"/>
        </w:rPr>
        <w:t xml:space="preserve"> 2014; Schnyder S &amp; Handschin C, Bone 2015]. That BAIBA was positively associated with weight regain in the univariate analysis — contrary to expectation — but included in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through the bidirectional stepwise process (where it captures variance independent of other covariates) illustrates a key complexity of multi-metabolite score construction: individual metabolites may carry confounded signals that are appropriately weighted only in a multivariate context.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network clarifies this complexity by situating BAIBA within the broader PPARA–CPT1A–AMPK system, where its directionality depends on the co-regulation of multiple pathways simultaneously.</w:t>
      </w:r>
    </w:p>
    <w:p w14:paraId="74E7937D" w14:textId="77777777" w:rsidR="00B21AA4" w:rsidRPr="00B21AA4" w:rsidRDefault="00B21AA4" w:rsidP="00B21AA4">
      <w:pPr>
        <w:rPr>
          <w:rFonts w:ascii="Arial" w:hAnsi="Arial" w:cs="Arial"/>
          <w:sz w:val="20"/>
          <w:szCs w:val="20"/>
        </w:rPr>
      </w:pPr>
    </w:p>
    <w:p w14:paraId="73122648" w14:textId="77777777" w:rsidR="00B21AA4" w:rsidRPr="00B21AA4" w:rsidRDefault="00B21AA4" w:rsidP="00B21AA4">
      <w:pPr>
        <w:rPr>
          <w:rFonts w:ascii="Arial" w:hAnsi="Arial" w:cs="Arial"/>
          <w:sz w:val="20"/>
          <w:szCs w:val="20"/>
        </w:rPr>
      </w:pPr>
      <w:r w:rsidRPr="00B21AA4">
        <w:rPr>
          <w:rFonts w:ascii="Arial" w:hAnsi="Arial" w:cs="Arial"/>
          <w:sz w:val="20"/>
          <w:szCs w:val="20"/>
        </w:rPr>
        <w:t>Bile acid glucuronidation and the GLP-1 increment as a mechanistic substrate for surgical efficacy. RYGB is unique among weight-loss interventions in producing a dramatically amplified postprandial GLP-1 response, which is thought to account for a substantial fraction of the surgery's effects on appetite suppression, glucose homeostasis, and long-term weight maintenance [</w:t>
      </w:r>
      <w:proofErr w:type="spellStart"/>
      <w:r w:rsidRPr="00B21AA4">
        <w:rPr>
          <w:rFonts w:ascii="Arial" w:hAnsi="Arial" w:cs="Arial"/>
          <w:sz w:val="20"/>
          <w:szCs w:val="20"/>
        </w:rPr>
        <w:t>Laferrère</w:t>
      </w:r>
      <w:proofErr w:type="spellEnd"/>
      <w:r w:rsidRPr="00B21AA4">
        <w:rPr>
          <w:rFonts w:ascii="Arial" w:hAnsi="Arial" w:cs="Arial"/>
          <w:sz w:val="20"/>
          <w:szCs w:val="20"/>
        </w:rPr>
        <w:t xml:space="preserve"> B et al., Diabetes Care 2010; Rubino F et al., Nat Med 2021]. The molecular basis for this GLP-1 increment involves altered bile </w:t>
      </w:r>
      <w:r w:rsidRPr="00B21AA4">
        <w:rPr>
          <w:rFonts w:ascii="Arial" w:hAnsi="Arial" w:cs="Arial"/>
          <w:sz w:val="20"/>
          <w:szCs w:val="20"/>
        </w:rPr>
        <w:lastRenderedPageBreak/>
        <w:t xml:space="preserve">acid delivery to the distal ileum, where bile acids activate TGR5 receptors on L-cells to stimulate GLP-1 secretion, and activate FXR to induce FGF19, which in turn regulates hepatic bile acid synthesis through CYP7A1 [Penney NC et al., </w:t>
      </w:r>
      <w:proofErr w:type="spellStart"/>
      <w:r w:rsidRPr="00B21AA4">
        <w:rPr>
          <w:rFonts w:ascii="Arial" w:hAnsi="Arial" w:cs="Arial"/>
          <w:sz w:val="20"/>
          <w:szCs w:val="20"/>
        </w:rPr>
        <w:t>Obes</w:t>
      </w:r>
      <w:proofErr w:type="spellEnd"/>
      <w:r w:rsidRPr="00B21AA4">
        <w:rPr>
          <w:rFonts w:ascii="Arial" w:hAnsi="Arial" w:cs="Arial"/>
          <w:sz w:val="20"/>
          <w:szCs w:val="20"/>
        </w:rPr>
        <w:t xml:space="preserve"> Rev 2015; Thomas C et al., Cell </w:t>
      </w:r>
      <w:proofErr w:type="spellStart"/>
      <w:r w:rsidRPr="00B21AA4">
        <w:rPr>
          <w:rFonts w:ascii="Arial" w:hAnsi="Arial" w:cs="Arial"/>
          <w:sz w:val="20"/>
          <w:szCs w:val="20"/>
        </w:rPr>
        <w:t>Metab</w:t>
      </w:r>
      <w:proofErr w:type="spellEnd"/>
      <w:r w:rsidRPr="00B21AA4">
        <w:rPr>
          <w:rFonts w:ascii="Arial" w:hAnsi="Arial" w:cs="Arial"/>
          <w:sz w:val="20"/>
          <w:szCs w:val="20"/>
        </w:rPr>
        <w:t xml:space="preserve"> 2009]. The network places glucuronate — lower in future weight-regain patients — at the center of this axis through UGT1A1 and UGT1A3, the enzymes responsible for conjugating bile acids with glucuronate for biliary secretion. Reduced preoperative glucuronate may reflect a lower baseline capacity for bile acid conjugation and enterohepatic recycling, potentially translating into a blunted GLP-1 increment post-surgery and, consequently, weaker appetite suppression and less durable weight loss. This hypothesis is consistent with clinical data showing that the magnitude of the post-RYGB GLP-1 response varies substantially between individuals and independently predicts weight outcomes [le Roux CW et al., Ann Surg 2006; Svane MS et al., Am J </w:t>
      </w:r>
      <w:proofErr w:type="spellStart"/>
      <w:r w:rsidRPr="00B21AA4">
        <w:rPr>
          <w:rFonts w:ascii="Arial" w:hAnsi="Arial" w:cs="Arial"/>
          <w:sz w:val="20"/>
          <w:szCs w:val="20"/>
        </w:rPr>
        <w:t>Physiol</w:t>
      </w:r>
      <w:proofErr w:type="spellEnd"/>
      <w:r w:rsidRPr="00B21AA4">
        <w:rPr>
          <w:rFonts w:ascii="Arial" w:hAnsi="Arial" w:cs="Arial"/>
          <w:sz w:val="20"/>
          <w:szCs w:val="20"/>
        </w:rPr>
        <w:t xml:space="preserve"> </w:t>
      </w:r>
      <w:proofErr w:type="spellStart"/>
      <w:r w:rsidRPr="00B21AA4">
        <w:rPr>
          <w:rFonts w:ascii="Arial" w:hAnsi="Arial" w:cs="Arial"/>
          <w:sz w:val="20"/>
          <w:szCs w:val="20"/>
        </w:rPr>
        <w:t>Regul</w:t>
      </w:r>
      <w:proofErr w:type="spellEnd"/>
      <w:r w:rsidRPr="00B21AA4">
        <w:rPr>
          <w:rFonts w:ascii="Arial" w:hAnsi="Arial" w:cs="Arial"/>
          <w:sz w:val="20"/>
          <w:szCs w:val="20"/>
        </w:rPr>
        <w:t xml:space="preserve"> </w:t>
      </w:r>
      <w:proofErr w:type="spellStart"/>
      <w:r w:rsidRPr="00B21AA4">
        <w:rPr>
          <w:rFonts w:ascii="Arial" w:hAnsi="Arial" w:cs="Arial"/>
          <w:sz w:val="20"/>
          <w:szCs w:val="20"/>
        </w:rPr>
        <w:t>Integr</w:t>
      </w:r>
      <w:proofErr w:type="spellEnd"/>
      <w:r w:rsidRPr="00B21AA4">
        <w:rPr>
          <w:rFonts w:ascii="Arial" w:hAnsi="Arial" w:cs="Arial"/>
          <w:sz w:val="20"/>
          <w:szCs w:val="20"/>
        </w:rPr>
        <w:t xml:space="preserve"> Comp </w:t>
      </w:r>
      <w:proofErr w:type="spellStart"/>
      <w:r w:rsidRPr="00B21AA4">
        <w:rPr>
          <w:rFonts w:ascii="Arial" w:hAnsi="Arial" w:cs="Arial"/>
          <w:sz w:val="20"/>
          <w:szCs w:val="20"/>
        </w:rPr>
        <w:t>Physiol</w:t>
      </w:r>
      <w:proofErr w:type="spellEnd"/>
      <w:r w:rsidRPr="00B21AA4">
        <w:rPr>
          <w:rFonts w:ascii="Arial" w:hAnsi="Arial" w:cs="Arial"/>
          <w:sz w:val="20"/>
          <w:szCs w:val="20"/>
        </w:rPr>
        <w:t xml:space="preserve"> 2016]. The FXR/NR1H4 gene, which bridges bile acid sensing to hepatic steatosis pathways in the network, also provides a mechanistic link between bile acid dysregulation and the metabolic dysfunction-associated liver disease that frequently co-occurs with obesity and predicts poor surgical response [Albaugh VL et al., Cell Rep Med 2022; Trauner M et al., J Hepatol 2010].</w:t>
      </w:r>
    </w:p>
    <w:p w14:paraId="1A538C5F" w14:textId="77777777" w:rsidR="00B21AA4" w:rsidRPr="00B21AA4" w:rsidRDefault="00B21AA4" w:rsidP="00B21AA4">
      <w:pPr>
        <w:rPr>
          <w:rFonts w:ascii="Arial" w:hAnsi="Arial" w:cs="Arial"/>
          <w:sz w:val="20"/>
          <w:szCs w:val="20"/>
        </w:rPr>
      </w:pPr>
    </w:p>
    <w:p w14:paraId="123CE7DD" w14:textId="77777777" w:rsidR="00B21AA4" w:rsidRPr="00B21AA4" w:rsidRDefault="00B21AA4" w:rsidP="00B21AA4">
      <w:pPr>
        <w:rPr>
          <w:rFonts w:ascii="Arial" w:hAnsi="Arial" w:cs="Arial"/>
          <w:sz w:val="20"/>
          <w:szCs w:val="20"/>
        </w:rPr>
      </w:pPr>
      <w:r w:rsidRPr="00B21AA4">
        <w:rPr>
          <w:rFonts w:ascii="Arial" w:hAnsi="Arial" w:cs="Arial"/>
          <w:sz w:val="20"/>
          <w:szCs w:val="20"/>
        </w:rPr>
        <w:t>Nitric oxide, homoarginine, and vascular endothelial function. Lower postoperative nitric oxide bioavailability and worse endothelial function are increasingly recognized as correlates of poor bariatric surgery outcomes, particularly for cardiometabolic end points [</w:t>
      </w:r>
      <w:proofErr w:type="spellStart"/>
      <w:r w:rsidRPr="00B21AA4">
        <w:rPr>
          <w:rFonts w:ascii="Arial" w:hAnsi="Arial" w:cs="Arial"/>
          <w:sz w:val="20"/>
          <w:szCs w:val="20"/>
        </w:rPr>
        <w:t>Tomaschitz</w:t>
      </w:r>
      <w:proofErr w:type="spellEnd"/>
      <w:r w:rsidRPr="00B21AA4">
        <w:rPr>
          <w:rFonts w:ascii="Arial" w:hAnsi="Arial" w:cs="Arial"/>
          <w:sz w:val="20"/>
          <w:szCs w:val="20"/>
        </w:rPr>
        <w:t xml:space="preserve"> A et al., Atherosclerosis 2014]. Homoarginine, an endogenous substrate of NOS that is produced by GATM and competes with the endogenous NOS inhibitor ADMA, has emerged in prospective studies as an inverse predictor of cardiovascular mortality [Pilz S et al., J Am Coll </w:t>
      </w:r>
      <w:proofErr w:type="spellStart"/>
      <w:r w:rsidRPr="00B21AA4">
        <w:rPr>
          <w:rFonts w:ascii="Arial" w:hAnsi="Arial" w:cs="Arial"/>
          <w:sz w:val="20"/>
          <w:szCs w:val="20"/>
        </w:rPr>
        <w:t>Cardiol</w:t>
      </w:r>
      <w:proofErr w:type="spellEnd"/>
      <w:r w:rsidRPr="00B21AA4">
        <w:rPr>
          <w:rFonts w:ascii="Arial" w:hAnsi="Arial" w:cs="Arial"/>
          <w:sz w:val="20"/>
          <w:szCs w:val="20"/>
        </w:rPr>
        <w:t xml:space="preserve"> 2011; Davids M et al., Amino Acids 2012]. GATM also catalyzes the first step in creatine biosynthesis, linking homoarginine to the creatine/phosphocreatine energy buffering system in heart and skeletal muscle. That homoarginine was higher in weight-regain patients may reflect either a compensatory upregulation in the face of impaired NOS3 activity (more substrate available but less NO produced) or a true difference in the GATM pathway flux. DMGV, derived from ADMA catabolism through the GATM pathway, is an endogenous NOS inhibitor whose elevation has been reported in insulin resistance and obesity [Stach K et al., </w:t>
      </w:r>
      <w:proofErr w:type="spellStart"/>
      <w:r w:rsidRPr="00B21AA4">
        <w:rPr>
          <w:rFonts w:ascii="Arial" w:hAnsi="Arial" w:cs="Arial"/>
          <w:sz w:val="20"/>
          <w:szCs w:val="20"/>
        </w:rPr>
        <w:t>Biochem</w:t>
      </w:r>
      <w:proofErr w:type="spellEnd"/>
      <w:r w:rsidRPr="00B21AA4">
        <w:rPr>
          <w:rFonts w:ascii="Arial" w:hAnsi="Arial" w:cs="Arial"/>
          <w:sz w:val="20"/>
          <w:szCs w:val="20"/>
        </w:rPr>
        <w:t xml:space="preserve"> </w:t>
      </w:r>
      <w:proofErr w:type="spellStart"/>
      <w:r w:rsidRPr="00B21AA4">
        <w:rPr>
          <w:rFonts w:ascii="Arial" w:hAnsi="Arial" w:cs="Arial"/>
          <w:sz w:val="20"/>
          <w:szCs w:val="20"/>
        </w:rPr>
        <w:t>Biophys</w:t>
      </w:r>
      <w:proofErr w:type="spellEnd"/>
      <w:r w:rsidRPr="00B21AA4">
        <w:rPr>
          <w:rFonts w:ascii="Arial" w:hAnsi="Arial" w:cs="Arial"/>
          <w:sz w:val="20"/>
          <w:szCs w:val="20"/>
        </w:rPr>
        <w:t xml:space="preserve"> Res Commun 2017], further connecting this metabolite cluster to the vascular phenotype of metabolic disease.</w:t>
      </w:r>
    </w:p>
    <w:p w14:paraId="4597CA79" w14:textId="77777777" w:rsidR="00B21AA4" w:rsidRPr="00B21AA4" w:rsidRDefault="00B21AA4" w:rsidP="00B21AA4">
      <w:pPr>
        <w:rPr>
          <w:rFonts w:ascii="Arial" w:hAnsi="Arial" w:cs="Arial"/>
          <w:sz w:val="20"/>
          <w:szCs w:val="20"/>
        </w:rPr>
      </w:pPr>
    </w:p>
    <w:p w14:paraId="6B3F5ED8" w14:textId="77777777" w:rsidR="00B21AA4" w:rsidRPr="00B21AA4" w:rsidRDefault="00B21AA4" w:rsidP="00B21AA4">
      <w:pPr>
        <w:rPr>
          <w:rFonts w:ascii="Arial" w:hAnsi="Arial" w:cs="Arial"/>
          <w:sz w:val="20"/>
          <w:szCs w:val="20"/>
        </w:rPr>
      </w:pPr>
      <w:r w:rsidRPr="00B21AA4">
        <w:rPr>
          <w:rFonts w:ascii="Arial" w:hAnsi="Arial" w:cs="Arial"/>
          <w:sz w:val="20"/>
          <w:szCs w:val="20"/>
        </w:rPr>
        <w:t>Gut microbiome remodeling as a bariatric surgery mechanism. RYGB produces among the most dramatic gut microbiome reconfigurations of any clinical intervention, with sustained shifts toward taxa associated with leanness and improved insulin sensitivity [</w:t>
      </w:r>
      <w:proofErr w:type="spellStart"/>
      <w:r w:rsidRPr="00B21AA4">
        <w:rPr>
          <w:rFonts w:ascii="Arial" w:hAnsi="Arial" w:cs="Arial"/>
          <w:sz w:val="20"/>
          <w:szCs w:val="20"/>
        </w:rPr>
        <w:t>Tremaroli</w:t>
      </w:r>
      <w:proofErr w:type="spellEnd"/>
      <w:r w:rsidRPr="00B21AA4">
        <w:rPr>
          <w:rFonts w:ascii="Arial" w:hAnsi="Arial" w:cs="Arial"/>
          <w:sz w:val="20"/>
          <w:szCs w:val="20"/>
        </w:rPr>
        <w:t xml:space="preserve"> V et al., Cell </w:t>
      </w:r>
      <w:proofErr w:type="spellStart"/>
      <w:r w:rsidRPr="00B21AA4">
        <w:rPr>
          <w:rFonts w:ascii="Arial" w:hAnsi="Arial" w:cs="Arial"/>
          <w:sz w:val="20"/>
          <w:szCs w:val="20"/>
        </w:rPr>
        <w:t>Metab</w:t>
      </w:r>
      <w:proofErr w:type="spellEnd"/>
      <w:r w:rsidRPr="00B21AA4">
        <w:rPr>
          <w:rFonts w:ascii="Arial" w:hAnsi="Arial" w:cs="Arial"/>
          <w:sz w:val="20"/>
          <w:szCs w:val="20"/>
        </w:rPr>
        <w:t xml:space="preserve"> 2015; Liou AP et al., Sci </w:t>
      </w:r>
      <w:proofErr w:type="spellStart"/>
      <w:r w:rsidRPr="00B21AA4">
        <w:rPr>
          <w:rFonts w:ascii="Arial" w:hAnsi="Arial" w:cs="Arial"/>
          <w:sz w:val="20"/>
          <w:szCs w:val="20"/>
        </w:rPr>
        <w:t>Transl</w:t>
      </w:r>
      <w:proofErr w:type="spellEnd"/>
      <w:r w:rsidRPr="00B21AA4">
        <w:rPr>
          <w:rFonts w:ascii="Arial" w:hAnsi="Arial" w:cs="Arial"/>
          <w:sz w:val="20"/>
          <w:szCs w:val="20"/>
        </w:rPr>
        <w:t xml:space="preserve"> Med 2013].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captures this remodeling through 4-hydroxyhippuric acid, a polyphenol-derived co-metabolite that is elevated in the sustained-weight-loss group. Higher 4-hydroxyhippuric acid reflects greater bacterial catabolism of dietary polyphenols — a capacity that tracks with microbiome diversity and the abundance of </w:t>
      </w:r>
      <w:proofErr w:type="spellStart"/>
      <w:r w:rsidRPr="00B21AA4">
        <w:rPr>
          <w:rFonts w:ascii="Arial" w:hAnsi="Arial" w:cs="Arial"/>
          <w:sz w:val="20"/>
          <w:szCs w:val="20"/>
        </w:rPr>
        <w:t>Lachnospiraceae</w:t>
      </w:r>
      <w:proofErr w:type="spellEnd"/>
      <w:r w:rsidRPr="00B21AA4">
        <w:rPr>
          <w:rFonts w:ascii="Arial" w:hAnsi="Arial" w:cs="Arial"/>
          <w:sz w:val="20"/>
          <w:szCs w:val="20"/>
        </w:rPr>
        <w:t xml:space="preserve"> and </w:t>
      </w:r>
      <w:proofErr w:type="spellStart"/>
      <w:r w:rsidRPr="00B21AA4">
        <w:rPr>
          <w:rFonts w:ascii="Arial" w:hAnsi="Arial" w:cs="Arial"/>
          <w:sz w:val="20"/>
          <w:szCs w:val="20"/>
        </w:rPr>
        <w:t>Ruminococcaceae</w:t>
      </w:r>
      <w:proofErr w:type="spellEnd"/>
      <w:r w:rsidRPr="00B21AA4">
        <w:rPr>
          <w:rFonts w:ascii="Arial" w:hAnsi="Arial" w:cs="Arial"/>
          <w:sz w:val="20"/>
          <w:szCs w:val="20"/>
        </w:rPr>
        <w:t xml:space="preserve"> taxa associated with metabolic health [</w:t>
      </w:r>
      <w:proofErr w:type="spellStart"/>
      <w:r w:rsidRPr="00B21AA4">
        <w:rPr>
          <w:rFonts w:ascii="Arial" w:hAnsi="Arial" w:cs="Arial"/>
          <w:sz w:val="20"/>
          <w:szCs w:val="20"/>
        </w:rPr>
        <w:t>Scalbert</w:t>
      </w:r>
      <w:proofErr w:type="spellEnd"/>
      <w:r w:rsidRPr="00B21AA4">
        <w:rPr>
          <w:rFonts w:ascii="Arial" w:hAnsi="Arial" w:cs="Arial"/>
          <w:sz w:val="20"/>
          <w:szCs w:val="20"/>
        </w:rPr>
        <w:t xml:space="preserve"> A et al., Mol </w:t>
      </w:r>
      <w:proofErr w:type="spellStart"/>
      <w:r w:rsidRPr="00B21AA4">
        <w:rPr>
          <w:rFonts w:ascii="Arial" w:hAnsi="Arial" w:cs="Arial"/>
          <w:sz w:val="20"/>
          <w:szCs w:val="20"/>
        </w:rPr>
        <w:t>Nutr</w:t>
      </w:r>
      <w:proofErr w:type="spellEnd"/>
      <w:r w:rsidRPr="00B21AA4">
        <w:rPr>
          <w:rFonts w:ascii="Arial" w:hAnsi="Arial" w:cs="Arial"/>
          <w:sz w:val="20"/>
          <w:szCs w:val="20"/>
        </w:rPr>
        <w:t xml:space="preserve"> Food Res 2014; Cani PD &amp; Knauf C, Cell 2016]. Preoperative differences in gut microbiome composition that determine polyphenol catabolism capacity may therefore be reflected in circulating 4-hydroxyhippuric acid before surgery and predict the degree to which the microbiome will successfully remodel in response to the anatomical changes imposed by RYGB. This interpretation is consistent with growing evidence that baseline microbiome composition influences long-term bariatric surgery outcomes, though prospective microbiome-metabolome integration studies in surgical cohorts remain limited [Stanislawski MA et al., Int J </w:t>
      </w:r>
      <w:proofErr w:type="spellStart"/>
      <w:r w:rsidRPr="00B21AA4">
        <w:rPr>
          <w:rFonts w:ascii="Arial" w:hAnsi="Arial" w:cs="Arial"/>
          <w:sz w:val="20"/>
          <w:szCs w:val="20"/>
        </w:rPr>
        <w:t>Obes</w:t>
      </w:r>
      <w:proofErr w:type="spellEnd"/>
      <w:r w:rsidRPr="00B21AA4">
        <w:rPr>
          <w:rFonts w:ascii="Arial" w:hAnsi="Arial" w:cs="Arial"/>
          <w:sz w:val="20"/>
          <w:szCs w:val="20"/>
        </w:rPr>
        <w:t xml:space="preserve"> 2019].</w:t>
      </w:r>
    </w:p>
    <w:p w14:paraId="79266AF8" w14:textId="77777777" w:rsidR="00B21AA4" w:rsidRPr="00B21AA4" w:rsidRDefault="00B21AA4" w:rsidP="00B21AA4">
      <w:pPr>
        <w:rPr>
          <w:rFonts w:ascii="Arial" w:hAnsi="Arial" w:cs="Arial"/>
          <w:sz w:val="20"/>
          <w:szCs w:val="20"/>
        </w:rPr>
      </w:pPr>
    </w:p>
    <w:p w14:paraId="51E29884" w14:textId="77777777" w:rsidR="00B21AA4" w:rsidRPr="00B21AA4" w:rsidRDefault="00B21AA4" w:rsidP="00B21AA4">
      <w:pPr>
        <w:rPr>
          <w:rFonts w:ascii="Arial" w:hAnsi="Arial" w:cs="Arial"/>
          <w:sz w:val="20"/>
          <w:szCs w:val="20"/>
        </w:rPr>
      </w:pPr>
      <w:r w:rsidRPr="00B21AA4">
        <w:rPr>
          <w:rFonts w:ascii="Arial" w:hAnsi="Arial" w:cs="Arial"/>
          <w:sz w:val="20"/>
          <w:szCs w:val="20"/>
        </w:rPr>
        <w:lastRenderedPageBreak/>
        <w:t>Collagen remodeling, HIF oxygen sensing, and adipose tissue involution. The elevation of hydroxyproline in sustained-weight-loss patients reflects the extensive extracellular matrix (ECM) remodeling that accompanies adipose tissue involution after effective RYGB. Adipose ECM in obesity is markedly fibrotic, and the capacity to resolve this fibrosis — through collagen degradation and matrix metalloproteinase activity — is a key determinant of functional adipose tissue remodeling [Sun K et al., J Clin Invest 2011]. The network connects hydroxyproline catabolism to EGLN1/PHD2, the HIF prolyl-hydroxylase that uses the same cofactor chemistry as collagen hydroxylation (2-oxoglutarate, Fe²</w:t>
      </w:r>
      <w:r w:rsidRPr="00B21AA4">
        <w:rPr>
          <w:rFonts w:ascii="Cambria Math" w:hAnsi="Cambria Math" w:cs="Cambria Math"/>
          <w:sz w:val="20"/>
          <w:szCs w:val="20"/>
        </w:rPr>
        <w:t>⁺</w:t>
      </w:r>
      <w:r w:rsidRPr="00B21AA4">
        <w:rPr>
          <w:rFonts w:ascii="Arial" w:hAnsi="Arial" w:cs="Arial"/>
          <w:sz w:val="20"/>
          <w:szCs w:val="20"/>
        </w:rPr>
        <w:t xml:space="preserve">, and ascorbate). EGLN1 activity, which marks HIF-1α for proteasomal degradation under </w:t>
      </w:r>
      <w:proofErr w:type="spellStart"/>
      <w:r w:rsidRPr="00B21AA4">
        <w:rPr>
          <w:rFonts w:ascii="Arial" w:hAnsi="Arial" w:cs="Arial"/>
          <w:sz w:val="20"/>
          <w:szCs w:val="20"/>
        </w:rPr>
        <w:t>normoxic</w:t>
      </w:r>
      <w:proofErr w:type="spellEnd"/>
      <w:r w:rsidRPr="00B21AA4">
        <w:rPr>
          <w:rFonts w:ascii="Arial" w:hAnsi="Arial" w:cs="Arial"/>
          <w:sz w:val="20"/>
          <w:szCs w:val="20"/>
        </w:rPr>
        <w:t xml:space="preserve"> conditions, is impaired in obese adipose tissue due to hypoxia and ascorbate depletion — an impairment that promotes pathological angiogenesis and inflammatory macrophage polarization [Halberg N et al., Cell </w:t>
      </w:r>
      <w:proofErr w:type="spellStart"/>
      <w:r w:rsidRPr="00B21AA4">
        <w:rPr>
          <w:rFonts w:ascii="Arial" w:hAnsi="Arial" w:cs="Arial"/>
          <w:sz w:val="20"/>
          <w:szCs w:val="20"/>
        </w:rPr>
        <w:t>Metab</w:t>
      </w:r>
      <w:proofErr w:type="spellEnd"/>
      <w:r w:rsidRPr="00B21AA4">
        <w:rPr>
          <w:rFonts w:ascii="Arial" w:hAnsi="Arial" w:cs="Arial"/>
          <w:sz w:val="20"/>
          <w:szCs w:val="20"/>
        </w:rPr>
        <w:t xml:space="preserve"> 2009]. Higher circulating hydroxyproline in sustained-weight-loss patients may thus reflect both greater collagen catabolism and improved tissue oxygenation, as the resolving adipose depot releases the ECM content accumulated during years of obesity.</w:t>
      </w:r>
    </w:p>
    <w:p w14:paraId="7D01D37F" w14:textId="77777777" w:rsidR="00B21AA4" w:rsidRPr="00B21AA4" w:rsidRDefault="00B21AA4" w:rsidP="00B21AA4">
      <w:pPr>
        <w:rPr>
          <w:rFonts w:ascii="Arial" w:hAnsi="Arial" w:cs="Arial"/>
          <w:sz w:val="20"/>
          <w:szCs w:val="20"/>
        </w:rPr>
      </w:pPr>
    </w:p>
    <w:p w14:paraId="4A1B9D48" w14:textId="77777777" w:rsidR="00B21AA4" w:rsidRPr="00B21AA4" w:rsidRDefault="00B21AA4" w:rsidP="00B21AA4">
      <w:pPr>
        <w:rPr>
          <w:rFonts w:ascii="Arial" w:hAnsi="Arial" w:cs="Arial"/>
          <w:sz w:val="20"/>
          <w:szCs w:val="20"/>
        </w:rPr>
      </w:pPr>
      <w:r w:rsidRPr="00B21AA4">
        <w:rPr>
          <w:rFonts w:ascii="Arial" w:hAnsi="Arial" w:cs="Arial"/>
          <w:sz w:val="20"/>
          <w:szCs w:val="20"/>
        </w:rPr>
        <w:t xml:space="preserve">Lipid peroxidation, ferroptosis, and PPAR-mediated adipose remodeling. The inclusion of 13-HODE in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reflects a recently appreciated connection between oxidized lipid signaling, PPAR receptor activation, and iron-dependent </w:t>
      </w:r>
      <w:proofErr w:type="spellStart"/>
      <w:r w:rsidRPr="00B21AA4">
        <w:rPr>
          <w:rFonts w:ascii="Arial" w:hAnsi="Arial" w:cs="Arial"/>
          <w:sz w:val="20"/>
          <w:szCs w:val="20"/>
        </w:rPr>
        <w:t>ferroptotic</w:t>
      </w:r>
      <w:proofErr w:type="spellEnd"/>
      <w:r w:rsidRPr="00B21AA4">
        <w:rPr>
          <w:rFonts w:ascii="Arial" w:hAnsi="Arial" w:cs="Arial"/>
          <w:sz w:val="20"/>
          <w:szCs w:val="20"/>
        </w:rPr>
        <w:t xml:space="preserve"> cell death in adipose tissue remodeling. 13-HODE, produced by ALOX15 from linoleic acid, is an endogenous PPARG ligand that promotes adipocyte differentiation at physiological concentrations but induces </w:t>
      </w:r>
      <w:proofErr w:type="spellStart"/>
      <w:r w:rsidRPr="00B21AA4">
        <w:rPr>
          <w:rFonts w:ascii="Arial" w:hAnsi="Arial" w:cs="Arial"/>
          <w:sz w:val="20"/>
          <w:szCs w:val="20"/>
        </w:rPr>
        <w:t>ferroptotic</w:t>
      </w:r>
      <w:proofErr w:type="spellEnd"/>
      <w:r w:rsidRPr="00B21AA4">
        <w:rPr>
          <w:rFonts w:ascii="Arial" w:hAnsi="Arial" w:cs="Arial"/>
          <w:sz w:val="20"/>
          <w:szCs w:val="20"/>
        </w:rPr>
        <w:t xml:space="preserve"> stress at high concentrations through GPX4 inhibition [Kühn H et al., Prog Lipid Res 2015; Dixon SJ et al., Cell 2012]. The balance between PPARA (fat oxidation, favorable for weight loss) and PPARG (fat storage, potentially counterproductive) may be a central molecular determinant of whether a patient maintains fat mobilization or reverts to adipose expansion after surgery. That 13-HODE was lower in weight-regain patients (Figure 2a) suggests a possible reduction in PPARG-driven adipocyte renewal or a shift in the ALOX15-dependent oxidized lipid milieu — connections that warrant direct mechanistic investigation in post-surgical adipose biopsy studies.</w:t>
      </w:r>
    </w:p>
    <w:p w14:paraId="206DAD72" w14:textId="77777777" w:rsidR="00B21AA4" w:rsidRPr="00B21AA4" w:rsidRDefault="00B21AA4" w:rsidP="00B21AA4">
      <w:pPr>
        <w:rPr>
          <w:rFonts w:ascii="Arial" w:hAnsi="Arial" w:cs="Arial"/>
          <w:sz w:val="20"/>
          <w:szCs w:val="20"/>
        </w:rPr>
      </w:pPr>
    </w:p>
    <w:p w14:paraId="2AA3C389" w14:textId="77777777" w:rsidR="00B21AA4" w:rsidRPr="00B21AA4" w:rsidRDefault="00B21AA4" w:rsidP="00B21AA4">
      <w:pPr>
        <w:rPr>
          <w:rFonts w:ascii="Arial" w:hAnsi="Arial" w:cs="Arial"/>
          <w:sz w:val="20"/>
          <w:szCs w:val="20"/>
        </w:rPr>
      </w:pPr>
      <w:proofErr w:type="spellStart"/>
      <w:r w:rsidRPr="00B21AA4">
        <w:rPr>
          <w:rFonts w:ascii="Arial" w:hAnsi="Arial" w:cs="Arial"/>
          <w:sz w:val="20"/>
          <w:szCs w:val="20"/>
        </w:rPr>
        <w:t>Epitranscriptomics</w:t>
      </w:r>
      <w:proofErr w:type="spellEnd"/>
      <w:r w:rsidRPr="00B21AA4">
        <w:rPr>
          <w:rFonts w:ascii="Arial" w:hAnsi="Arial" w:cs="Arial"/>
          <w:sz w:val="20"/>
          <w:szCs w:val="20"/>
        </w:rPr>
        <w:t xml:space="preserve"> and the NAD+ metabolic axis. The presence of 1-methylguanosine — a modified nucleoside released by RNA turnover — in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points toward an emerging area of obesity biology: the relationship between </w:t>
      </w:r>
      <w:proofErr w:type="spellStart"/>
      <w:r w:rsidRPr="00B21AA4">
        <w:rPr>
          <w:rFonts w:ascii="Arial" w:hAnsi="Arial" w:cs="Arial"/>
          <w:sz w:val="20"/>
          <w:szCs w:val="20"/>
        </w:rPr>
        <w:t>epitranscriptomic</w:t>
      </w:r>
      <w:proofErr w:type="spellEnd"/>
      <w:r w:rsidRPr="00B21AA4">
        <w:rPr>
          <w:rFonts w:ascii="Arial" w:hAnsi="Arial" w:cs="Arial"/>
          <w:sz w:val="20"/>
          <w:szCs w:val="20"/>
        </w:rPr>
        <w:t xml:space="preserve"> RNA modifications and metabolic regulation. N1-methylation of guanosine in mRNA 5' caps is regulated by the METTL3/METTL14 RNA methyltransferase complex, and the resulting cap structures influence translation efficiency and cellular metabolic programs [Helm M &amp; </w:t>
      </w:r>
      <w:proofErr w:type="spellStart"/>
      <w:r w:rsidRPr="00B21AA4">
        <w:rPr>
          <w:rFonts w:ascii="Arial" w:hAnsi="Arial" w:cs="Arial"/>
          <w:sz w:val="20"/>
          <w:szCs w:val="20"/>
        </w:rPr>
        <w:t>Motorin</w:t>
      </w:r>
      <w:proofErr w:type="spellEnd"/>
      <w:r w:rsidRPr="00B21AA4">
        <w:rPr>
          <w:rFonts w:ascii="Arial" w:hAnsi="Arial" w:cs="Arial"/>
          <w:sz w:val="20"/>
          <w:szCs w:val="20"/>
        </w:rPr>
        <w:t xml:space="preserve"> Y, Nat Rev Genet 2017]. Circulating 1-methylguanosine is generated during RNA degradation and reflects global RNA methylation turnover. In the network, its connection to SIRT1 — via the shared NAD+ pool that rises during caloric restriction and is consumed by sirtuin activity — suggests that 1-methylguanosine may track the sirtuin-dependent metabolic reprogramming that underlies the beneficial effects of caloric restriction and bariatric surgery [</w:t>
      </w:r>
      <w:proofErr w:type="spellStart"/>
      <w:r w:rsidRPr="00B21AA4">
        <w:rPr>
          <w:rFonts w:ascii="Arial" w:hAnsi="Arial" w:cs="Arial"/>
          <w:sz w:val="20"/>
          <w:szCs w:val="20"/>
        </w:rPr>
        <w:t>Chalkiadaki</w:t>
      </w:r>
      <w:proofErr w:type="spellEnd"/>
      <w:r w:rsidRPr="00B21AA4">
        <w:rPr>
          <w:rFonts w:ascii="Arial" w:hAnsi="Arial" w:cs="Arial"/>
          <w:sz w:val="20"/>
          <w:szCs w:val="20"/>
        </w:rPr>
        <w:t xml:space="preserve"> A &amp; Guarente L, Nat Rev Mol Cell Biol 2012; Imai S &amp; Guarente L, Trends Cell Biol 2014].</w:t>
      </w:r>
    </w:p>
    <w:p w14:paraId="67911F6E" w14:textId="77777777" w:rsidR="00B21AA4" w:rsidRPr="00B21AA4" w:rsidRDefault="00B21AA4" w:rsidP="00B21AA4">
      <w:pPr>
        <w:rPr>
          <w:rFonts w:ascii="Arial" w:hAnsi="Arial" w:cs="Arial"/>
          <w:sz w:val="20"/>
          <w:szCs w:val="20"/>
        </w:rPr>
      </w:pPr>
    </w:p>
    <w:p w14:paraId="456FB5CC" w14:textId="629B1A42" w:rsidR="00B21AA4" w:rsidRPr="00B21AA4" w:rsidRDefault="00B21AA4" w:rsidP="00B21AA4">
      <w:pPr>
        <w:rPr>
          <w:rFonts w:ascii="Arial" w:hAnsi="Arial" w:cs="Arial"/>
          <w:sz w:val="20"/>
          <w:szCs w:val="20"/>
        </w:rPr>
      </w:pPr>
      <w:r w:rsidRPr="00B21AA4">
        <w:rPr>
          <w:rFonts w:ascii="Arial" w:hAnsi="Arial" w:cs="Arial"/>
          <w:sz w:val="20"/>
          <w:szCs w:val="20"/>
        </w:rPr>
        <w:t xml:space="preserve">Integrated interpretation and clinical implications. The most important conclusion from the network analysis is that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captures not one but eight simultaneously dysregulated biological systems in patients who will ultimately regain weight after RYGB. This multi-system perspective has important clinical implications. First, it suggests that weight regain after bariatric surgery is a complex, polygenic-and-metabolic trait that is unlikely to yield to single-target interventions. Second, it highlights the potential of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as a decision-support tool to identify high-risk patients before surgery and direct them toward </w:t>
      </w:r>
      <w:r w:rsidRPr="00B21AA4">
        <w:rPr>
          <w:rFonts w:ascii="Arial" w:hAnsi="Arial" w:cs="Arial"/>
          <w:sz w:val="20"/>
          <w:szCs w:val="20"/>
        </w:rPr>
        <w:lastRenderedPageBreak/>
        <w:t xml:space="preserve">intensified perioperative interventions, including preoperative anti-inflammatory therapy, microbiome optimization, or structured exercise programs to activate the PPARA–BAIBA–UCP2 thermogenic axis. Third, the disease node associations in the network — with 18 of 60 network genes directly linked to obesity and 10 linked to type 2 diabetes — confirm that the metabolites in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are not bariatric-surgery-specific ephemera but reflect fundamental molecular features of the obese metabolic phenotype that persist into the postoperative period in susceptible individuals. The subsequent GWAS results (Figure 3) provide genetic support for several network genes, most notably AGXT2 (which encodes an enzyme that metabolizes BAIBA and acts on DMGV) and SLC7A5 (the kynurenine transporter), offering additional mechanistic validation of the network's biological relevance.</w:t>
      </w:r>
    </w:p>
    <w:p w14:paraId="699E3018" w14:textId="77777777" w:rsidR="00B21AA4" w:rsidRPr="00B21AA4" w:rsidRDefault="00B21AA4" w:rsidP="00B21AA4">
      <w:pPr>
        <w:rPr>
          <w:rFonts w:ascii="Arial" w:hAnsi="Arial" w:cs="Arial"/>
          <w:sz w:val="20"/>
          <w:szCs w:val="20"/>
        </w:rPr>
      </w:pPr>
    </w:p>
    <w:p w14:paraId="74A7F284" w14:textId="77777777" w:rsidR="00B21AA4" w:rsidRPr="00B21AA4" w:rsidRDefault="00B21AA4" w:rsidP="00B21AA4">
      <w:pPr>
        <w:rPr>
          <w:rFonts w:ascii="Arial" w:hAnsi="Arial" w:cs="Arial"/>
          <w:sz w:val="20"/>
          <w:szCs w:val="20"/>
        </w:rPr>
      </w:pPr>
      <w:r w:rsidRPr="00B21AA4">
        <w:rPr>
          <w:rFonts w:ascii="Arial" w:hAnsi="Arial" w:cs="Arial"/>
          <w:sz w:val="20"/>
          <w:szCs w:val="20"/>
        </w:rPr>
        <w:t xml:space="preserve">Future studies should prioritize prospective integration of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with gut microbiome sequencing, adipose tissue biopsy, and post-surgical GLP-1 dynamic testing to directly test the pathway hypotheses generated by the network model. Mechanistic validation in animal models of bariatric surgery — particularly germ-free or microbiome-transplant models — would clarify the causal contributions of the gut microbiome module to long-term surgical outcomes. Finally, the convergence of multiple network genes on clinically actionable pathways (IDO1 inhibition, PPARA agonism, FXR activation, GLP-1 receptor agonism) raises the possibility that pharmacological agents targeting these pathways could be rationally deployed as adjuncts to surgery in high-</w:t>
      </w:r>
      <w:proofErr w:type="spellStart"/>
      <w:r w:rsidRPr="00B21AA4">
        <w:rPr>
          <w:rFonts w:ascii="Arial" w:hAnsi="Arial" w:cs="Arial"/>
          <w:sz w:val="20"/>
          <w:szCs w:val="20"/>
        </w:rPr>
        <w:t>MetRS</w:t>
      </w:r>
      <w:proofErr w:type="spellEnd"/>
      <w:r w:rsidRPr="00B21AA4">
        <w:rPr>
          <w:rFonts w:ascii="Arial" w:hAnsi="Arial" w:cs="Arial"/>
          <w:sz w:val="20"/>
          <w:szCs w:val="20"/>
        </w:rPr>
        <w:t xml:space="preserve"> individuals identified by preoperative screening.</w:t>
      </w:r>
    </w:p>
    <w:p w14:paraId="6A0F9E13" w14:textId="77777777" w:rsidR="00B21AA4" w:rsidRPr="00B21AA4" w:rsidRDefault="00B21AA4" w:rsidP="00B21AA4">
      <w:pPr>
        <w:rPr>
          <w:rFonts w:ascii="Arial" w:hAnsi="Arial" w:cs="Arial"/>
          <w:sz w:val="20"/>
          <w:szCs w:val="20"/>
        </w:rPr>
      </w:pPr>
    </w:p>
    <w:p w14:paraId="6DCFA5D3" w14:textId="77777777" w:rsidR="00B21AA4" w:rsidRPr="00B21AA4" w:rsidRDefault="00B21AA4" w:rsidP="00B21AA4">
      <w:pPr>
        <w:rPr>
          <w:rFonts w:ascii="Arial" w:hAnsi="Arial" w:cs="Arial"/>
          <w:sz w:val="20"/>
          <w:szCs w:val="20"/>
        </w:rPr>
      </w:pPr>
    </w:p>
    <w:p w14:paraId="74301CEF" w14:textId="554BD237" w:rsidR="00B21AA4" w:rsidRPr="00B21AA4" w:rsidRDefault="00B21AA4" w:rsidP="00B21AA4">
      <w:pPr>
        <w:rPr>
          <w:rFonts w:ascii="Arial" w:hAnsi="Arial" w:cs="Arial"/>
          <w:sz w:val="20"/>
          <w:szCs w:val="20"/>
        </w:rPr>
      </w:pPr>
      <w:r w:rsidRPr="00B21AA4">
        <w:rPr>
          <w:rFonts w:ascii="Arial" w:hAnsi="Arial" w:cs="Arial"/>
          <w:sz w:val="20"/>
          <w:szCs w:val="20"/>
        </w:rPr>
        <w:t>Results and Discussion References</w:t>
      </w:r>
    </w:p>
    <w:p w14:paraId="74D2FB73" w14:textId="77777777" w:rsidR="00B21AA4" w:rsidRPr="00B21AA4" w:rsidRDefault="00B21AA4" w:rsidP="00B21AA4">
      <w:pPr>
        <w:rPr>
          <w:rFonts w:ascii="Arial" w:hAnsi="Arial" w:cs="Arial"/>
          <w:sz w:val="20"/>
          <w:szCs w:val="20"/>
        </w:rPr>
      </w:pPr>
    </w:p>
    <w:p w14:paraId="33BDB2BE" w14:textId="5B6947E4" w:rsidR="00B21AA4" w:rsidRPr="00B21AA4" w:rsidRDefault="00B21AA4" w:rsidP="00B21AA4">
      <w:pPr>
        <w:rPr>
          <w:rFonts w:ascii="Arial" w:hAnsi="Arial" w:cs="Arial"/>
          <w:sz w:val="20"/>
          <w:szCs w:val="20"/>
        </w:rPr>
      </w:pPr>
      <w:r w:rsidRPr="00B21AA4">
        <w:rPr>
          <w:rFonts w:ascii="Arial" w:hAnsi="Arial" w:cs="Arial"/>
          <w:sz w:val="20"/>
          <w:szCs w:val="20"/>
        </w:rPr>
        <w:t>Albaugh VL, Flynn CR, Cai S, et al. Early increases in bile acids post Roux-en-Y gastric bypass are driven by insulin-sensitizing, secondary bile acids. Cell Rep Med. 2022;3(2):100498.</w:t>
      </w:r>
    </w:p>
    <w:p w14:paraId="13D7718F" w14:textId="336F99BA" w:rsidR="00B21AA4" w:rsidRPr="00B21AA4" w:rsidRDefault="00B21AA4" w:rsidP="00B21AA4">
      <w:pPr>
        <w:rPr>
          <w:rFonts w:ascii="Arial" w:hAnsi="Arial" w:cs="Arial"/>
          <w:sz w:val="20"/>
          <w:szCs w:val="20"/>
        </w:rPr>
      </w:pPr>
      <w:r w:rsidRPr="00B21AA4">
        <w:rPr>
          <w:rFonts w:ascii="Arial" w:hAnsi="Arial" w:cs="Arial"/>
          <w:sz w:val="20"/>
          <w:szCs w:val="20"/>
        </w:rPr>
        <w:t xml:space="preserve">Boström P, Wu J, </w:t>
      </w:r>
      <w:proofErr w:type="spellStart"/>
      <w:r w:rsidRPr="00B21AA4">
        <w:rPr>
          <w:rFonts w:ascii="Arial" w:hAnsi="Arial" w:cs="Arial"/>
          <w:sz w:val="20"/>
          <w:szCs w:val="20"/>
        </w:rPr>
        <w:t>Jedrychowski</w:t>
      </w:r>
      <w:proofErr w:type="spellEnd"/>
      <w:r w:rsidRPr="00B21AA4">
        <w:rPr>
          <w:rFonts w:ascii="Arial" w:hAnsi="Arial" w:cs="Arial"/>
          <w:sz w:val="20"/>
          <w:szCs w:val="20"/>
        </w:rPr>
        <w:t xml:space="preserve"> MP, et al. A PGC1-α-dependent myokine that drives brown-fat-like development of white fat and thermogenesis. Nature. 2012;481(7382):463–468.</w:t>
      </w:r>
    </w:p>
    <w:p w14:paraId="7893820D" w14:textId="5B464FC8" w:rsidR="00B21AA4" w:rsidRPr="00B21AA4" w:rsidRDefault="00B21AA4" w:rsidP="00B21AA4">
      <w:pPr>
        <w:rPr>
          <w:rFonts w:ascii="Arial" w:hAnsi="Arial" w:cs="Arial"/>
          <w:sz w:val="20"/>
          <w:szCs w:val="20"/>
        </w:rPr>
      </w:pPr>
      <w:proofErr w:type="spellStart"/>
      <w:r w:rsidRPr="00B21AA4">
        <w:rPr>
          <w:rFonts w:ascii="Arial" w:hAnsi="Arial" w:cs="Arial"/>
          <w:sz w:val="20"/>
          <w:szCs w:val="20"/>
        </w:rPr>
        <w:t>Camastra</w:t>
      </w:r>
      <w:proofErr w:type="spellEnd"/>
      <w:r w:rsidRPr="00B21AA4">
        <w:rPr>
          <w:rFonts w:ascii="Arial" w:hAnsi="Arial" w:cs="Arial"/>
          <w:sz w:val="20"/>
          <w:szCs w:val="20"/>
        </w:rPr>
        <w:t xml:space="preserve"> S, </w:t>
      </w:r>
      <w:proofErr w:type="spellStart"/>
      <w:r w:rsidRPr="00B21AA4">
        <w:rPr>
          <w:rFonts w:ascii="Arial" w:hAnsi="Arial" w:cs="Arial"/>
          <w:sz w:val="20"/>
          <w:szCs w:val="20"/>
        </w:rPr>
        <w:t>Gastaldelli</w:t>
      </w:r>
      <w:proofErr w:type="spellEnd"/>
      <w:r w:rsidRPr="00B21AA4">
        <w:rPr>
          <w:rFonts w:ascii="Arial" w:hAnsi="Arial" w:cs="Arial"/>
          <w:sz w:val="20"/>
          <w:szCs w:val="20"/>
        </w:rPr>
        <w:t xml:space="preserve"> A, Mari A, et al. Early and </w:t>
      </w:r>
      <w:proofErr w:type="gramStart"/>
      <w:r w:rsidRPr="00B21AA4">
        <w:rPr>
          <w:rFonts w:ascii="Arial" w:hAnsi="Arial" w:cs="Arial"/>
          <w:sz w:val="20"/>
          <w:szCs w:val="20"/>
        </w:rPr>
        <w:t>longer term</w:t>
      </w:r>
      <w:proofErr w:type="gramEnd"/>
      <w:r w:rsidRPr="00B21AA4">
        <w:rPr>
          <w:rFonts w:ascii="Arial" w:hAnsi="Arial" w:cs="Arial"/>
          <w:sz w:val="20"/>
          <w:szCs w:val="20"/>
        </w:rPr>
        <w:t xml:space="preserve"> effects of gastric bypass surgery on tissue-specific insulin sensitivity and beta cell function in morbidly obese patients with and without type 2 diabetes. </w:t>
      </w:r>
      <w:proofErr w:type="spellStart"/>
      <w:r w:rsidRPr="00B21AA4">
        <w:rPr>
          <w:rFonts w:ascii="Arial" w:hAnsi="Arial" w:cs="Arial"/>
          <w:sz w:val="20"/>
          <w:szCs w:val="20"/>
        </w:rPr>
        <w:t>Diabetologia</w:t>
      </w:r>
      <w:proofErr w:type="spellEnd"/>
      <w:r w:rsidRPr="00B21AA4">
        <w:rPr>
          <w:rFonts w:ascii="Arial" w:hAnsi="Arial" w:cs="Arial"/>
          <w:sz w:val="20"/>
          <w:szCs w:val="20"/>
        </w:rPr>
        <w:t>. 2011;54(8):2093–2102.</w:t>
      </w:r>
    </w:p>
    <w:p w14:paraId="381EB43A" w14:textId="6CB79E71" w:rsidR="00B21AA4" w:rsidRPr="00B21AA4" w:rsidRDefault="00B21AA4" w:rsidP="00B21AA4">
      <w:pPr>
        <w:rPr>
          <w:rFonts w:ascii="Arial" w:hAnsi="Arial" w:cs="Arial"/>
          <w:sz w:val="20"/>
          <w:szCs w:val="20"/>
        </w:rPr>
      </w:pPr>
      <w:r w:rsidRPr="00B21AA4">
        <w:rPr>
          <w:rFonts w:ascii="Arial" w:hAnsi="Arial" w:cs="Arial"/>
          <w:sz w:val="20"/>
          <w:szCs w:val="20"/>
        </w:rPr>
        <w:t>Cani PD, Knauf C. How gut microbes talk to organs: The role of endocrine and nervous routes. Cell. 2016;167(1):268.</w:t>
      </w:r>
    </w:p>
    <w:p w14:paraId="2BA95061" w14:textId="1348D8F3" w:rsidR="00B21AA4" w:rsidRPr="00B21AA4" w:rsidRDefault="00B21AA4" w:rsidP="00B21AA4">
      <w:pPr>
        <w:rPr>
          <w:rFonts w:ascii="Arial" w:hAnsi="Arial" w:cs="Arial"/>
          <w:sz w:val="20"/>
          <w:szCs w:val="20"/>
        </w:rPr>
      </w:pPr>
      <w:r w:rsidRPr="00B21AA4">
        <w:rPr>
          <w:rFonts w:ascii="Arial" w:hAnsi="Arial" w:cs="Arial"/>
          <w:sz w:val="20"/>
          <w:szCs w:val="20"/>
        </w:rPr>
        <w:t>Cervenka I, Agudelo LZ, Ruas JL. Kynurenines: Tryptophan's metabolites in exercise, inflammation, and mental health. Science. 2017;357(6349):eaaf9794.</w:t>
      </w:r>
    </w:p>
    <w:p w14:paraId="791FA130" w14:textId="3C3D35E1" w:rsidR="00B21AA4" w:rsidRPr="00B21AA4" w:rsidRDefault="00B21AA4" w:rsidP="00B21AA4">
      <w:pPr>
        <w:rPr>
          <w:rFonts w:ascii="Arial" w:hAnsi="Arial" w:cs="Arial"/>
          <w:sz w:val="20"/>
          <w:szCs w:val="20"/>
        </w:rPr>
      </w:pPr>
      <w:proofErr w:type="spellStart"/>
      <w:r w:rsidRPr="00B21AA4">
        <w:rPr>
          <w:rFonts w:ascii="Arial" w:hAnsi="Arial" w:cs="Arial"/>
          <w:sz w:val="20"/>
          <w:szCs w:val="20"/>
        </w:rPr>
        <w:t>Chalkiadaki</w:t>
      </w:r>
      <w:proofErr w:type="spellEnd"/>
      <w:r w:rsidRPr="00B21AA4">
        <w:rPr>
          <w:rFonts w:ascii="Arial" w:hAnsi="Arial" w:cs="Arial"/>
          <w:sz w:val="20"/>
          <w:szCs w:val="20"/>
        </w:rPr>
        <w:t xml:space="preserve"> A, Guarente L. Sirtuins mediate mammalian metabolic responses to nutrient availability. Nat Rev Mol Cell Biol. 2012;13(4):225–232.</w:t>
      </w:r>
    </w:p>
    <w:p w14:paraId="04EC2A50" w14:textId="4B4F4CAC" w:rsidR="00B21AA4" w:rsidRPr="00B21AA4" w:rsidRDefault="00B21AA4" w:rsidP="00B21AA4">
      <w:pPr>
        <w:rPr>
          <w:rFonts w:ascii="Arial" w:hAnsi="Arial" w:cs="Arial"/>
          <w:sz w:val="20"/>
          <w:szCs w:val="20"/>
        </w:rPr>
      </w:pPr>
      <w:r w:rsidRPr="00B21AA4">
        <w:rPr>
          <w:rFonts w:ascii="Arial" w:hAnsi="Arial" w:cs="Arial"/>
          <w:sz w:val="20"/>
          <w:szCs w:val="20"/>
        </w:rPr>
        <w:t xml:space="preserve">Davids M, </w:t>
      </w:r>
      <w:proofErr w:type="spellStart"/>
      <w:r w:rsidRPr="00B21AA4">
        <w:rPr>
          <w:rFonts w:ascii="Arial" w:hAnsi="Arial" w:cs="Arial"/>
          <w:sz w:val="20"/>
          <w:szCs w:val="20"/>
        </w:rPr>
        <w:t>Ndika</w:t>
      </w:r>
      <w:proofErr w:type="spellEnd"/>
      <w:r w:rsidRPr="00B21AA4">
        <w:rPr>
          <w:rFonts w:ascii="Arial" w:hAnsi="Arial" w:cs="Arial"/>
          <w:sz w:val="20"/>
          <w:szCs w:val="20"/>
        </w:rPr>
        <w:t xml:space="preserve"> JD, Salomons GS, et al. Promiscuous activity of </w:t>
      </w:r>
      <w:proofErr w:type="spellStart"/>
      <w:r w:rsidRPr="00B21AA4">
        <w:rPr>
          <w:rFonts w:ascii="Arial" w:hAnsi="Arial" w:cs="Arial"/>
          <w:sz w:val="20"/>
          <w:szCs w:val="20"/>
        </w:rPr>
        <w:t>arginine:glycine</w:t>
      </w:r>
      <w:proofErr w:type="spellEnd"/>
      <w:r w:rsidRPr="00B21AA4">
        <w:rPr>
          <w:rFonts w:ascii="Arial" w:hAnsi="Arial" w:cs="Arial"/>
          <w:sz w:val="20"/>
          <w:szCs w:val="20"/>
        </w:rPr>
        <w:t xml:space="preserve"> </w:t>
      </w:r>
      <w:proofErr w:type="spellStart"/>
      <w:r w:rsidRPr="00B21AA4">
        <w:rPr>
          <w:rFonts w:ascii="Arial" w:hAnsi="Arial" w:cs="Arial"/>
          <w:sz w:val="20"/>
          <w:szCs w:val="20"/>
        </w:rPr>
        <w:t>amidinotransferase</w:t>
      </w:r>
      <w:proofErr w:type="spellEnd"/>
      <w:r w:rsidRPr="00B21AA4">
        <w:rPr>
          <w:rFonts w:ascii="Arial" w:hAnsi="Arial" w:cs="Arial"/>
          <w:sz w:val="20"/>
          <w:szCs w:val="20"/>
        </w:rPr>
        <w:t>: New insights into substrate and product specificity. Amino Acids. 2012;43(1):71–78.</w:t>
      </w:r>
    </w:p>
    <w:p w14:paraId="2B2CCF5E" w14:textId="31B36C52" w:rsidR="00B21AA4" w:rsidRPr="00B21AA4" w:rsidRDefault="00B21AA4" w:rsidP="00B21AA4">
      <w:pPr>
        <w:rPr>
          <w:rFonts w:ascii="Arial" w:hAnsi="Arial" w:cs="Arial"/>
          <w:sz w:val="20"/>
          <w:szCs w:val="20"/>
        </w:rPr>
      </w:pPr>
      <w:r w:rsidRPr="00B21AA4">
        <w:rPr>
          <w:rFonts w:ascii="Arial" w:hAnsi="Arial" w:cs="Arial"/>
          <w:sz w:val="20"/>
          <w:szCs w:val="20"/>
        </w:rPr>
        <w:t>Dixon SJ, Lemberg KM, Lamprecht MR, et al. Ferroptosis: An iron-dependent form of nonapoptotic cell death. Cell. 2012;149(5):1060–1072.</w:t>
      </w:r>
    </w:p>
    <w:p w14:paraId="5D382F72" w14:textId="5161D84A" w:rsidR="00B21AA4" w:rsidRPr="00B21AA4" w:rsidRDefault="00B21AA4" w:rsidP="00B21AA4">
      <w:pPr>
        <w:rPr>
          <w:rFonts w:ascii="Arial" w:hAnsi="Arial" w:cs="Arial"/>
          <w:sz w:val="20"/>
          <w:szCs w:val="20"/>
        </w:rPr>
      </w:pPr>
      <w:proofErr w:type="spellStart"/>
      <w:r w:rsidRPr="00B21AA4">
        <w:rPr>
          <w:rFonts w:ascii="Arial" w:hAnsi="Arial" w:cs="Arial"/>
          <w:sz w:val="20"/>
          <w:szCs w:val="20"/>
        </w:rPr>
        <w:lastRenderedPageBreak/>
        <w:t>Favennec</w:t>
      </w:r>
      <w:proofErr w:type="spellEnd"/>
      <w:r w:rsidRPr="00B21AA4">
        <w:rPr>
          <w:rFonts w:ascii="Arial" w:hAnsi="Arial" w:cs="Arial"/>
          <w:sz w:val="20"/>
          <w:szCs w:val="20"/>
        </w:rPr>
        <w:t xml:space="preserve"> M, </w:t>
      </w:r>
      <w:proofErr w:type="spellStart"/>
      <w:r w:rsidRPr="00B21AA4">
        <w:rPr>
          <w:rFonts w:ascii="Arial" w:hAnsi="Arial" w:cs="Arial"/>
          <w:sz w:val="20"/>
          <w:szCs w:val="20"/>
        </w:rPr>
        <w:t>Hennart</w:t>
      </w:r>
      <w:proofErr w:type="spellEnd"/>
      <w:r w:rsidRPr="00B21AA4">
        <w:rPr>
          <w:rFonts w:ascii="Arial" w:hAnsi="Arial" w:cs="Arial"/>
          <w:sz w:val="20"/>
          <w:szCs w:val="20"/>
        </w:rPr>
        <w:t xml:space="preserve"> B, Caiazzo R, et al. The kynurenine pathway is activated in human obesity and shifted toward kynurenine monooxygenase activation. Obesity (Silver Spring). 2015;23(10):2066–2074.</w:t>
      </w:r>
    </w:p>
    <w:p w14:paraId="25F7E9FD" w14:textId="5BCC8D9E" w:rsidR="00B21AA4" w:rsidRPr="00B21AA4" w:rsidRDefault="00B21AA4" w:rsidP="00B21AA4">
      <w:pPr>
        <w:rPr>
          <w:rFonts w:ascii="Arial" w:hAnsi="Arial" w:cs="Arial"/>
          <w:sz w:val="20"/>
          <w:szCs w:val="20"/>
        </w:rPr>
      </w:pPr>
      <w:r w:rsidRPr="00B21AA4">
        <w:rPr>
          <w:rFonts w:ascii="Arial" w:hAnsi="Arial" w:cs="Arial"/>
          <w:sz w:val="20"/>
          <w:szCs w:val="20"/>
        </w:rPr>
        <w:t>Halberg N, Khan T, Trujillo ME, et al. Hypoxia-inducible factor 1α induces fibrosis and insulin resistance in white adipose tissue. Mol Cell Biol. 2009;29(16):4467–4483.</w:t>
      </w:r>
    </w:p>
    <w:p w14:paraId="332BDFF1" w14:textId="0D0389DD" w:rsidR="00B21AA4" w:rsidRPr="00B21AA4" w:rsidRDefault="00B21AA4" w:rsidP="00B21AA4">
      <w:pPr>
        <w:rPr>
          <w:rFonts w:ascii="Arial" w:hAnsi="Arial" w:cs="Arial"/>
          <w:sz w:val="20"/>
          <w:szCs w:val="20"/>
        </w:rPr>
      </w:pPr>
      <w:r w:rsidRPr="00B21AA4">
        <w:rPr>
          <w:rFonts w:ascii="Arial" w:hAnsi="Arial" w:cs="Arial"/>
          <w:sz w:val="20"/>
          <w:szCs w:val="20"/>
        </w:rPr>
        <w:t xml:space="preserve">Helm M, </w:t>
      </w:r>
      <w:proofErr w:type="spellStart"/>
      <w:r w:rsidRPr="00B21AA4">
        <w:rPr>
          <w:rFonts w:ascii="Arial" w:hAnsi="Arial" w:cs="Arial"/>
          <w:sz w:val="20"/>
          <w:szCs w:val="20"/>
        </w:rPr>
        <w:t>Motorin</w:t>
      </w:r>
      <w:proofErr w:type="spellEnd"/>
      <w:r w:rsidRPr="00B21AA4">
        <w:rPr>
          <w:rFonts w:ascii="Arial" w:hAnsi="Arial" w:cs="Arial"/>
          <w:sz w:val="20"/>
          <w:szCs w:val="20"/>
        </w:rPr>
        <w:t xml:space="preserve"> Y. Detecting RNA modifications in the </w:t>
      </w:r>
      <w:proofErr w:type="spellStart"/>
      <w:r w:rsidRPr="00B21AA4">
        <w:rPr>
          <w:rFonts w:ascii="Arial" w:hAnsi="Arial" w:cs="Arial"/>
          <w:sz w:val="20"/>
          <w:szCs w:val="20"/>
        </w:rPr>
        <w:t>epitranscriptome</w:t>
      </w:r>
      <w:proofErr w:type="spellEnd"/>
      <w:r w:rsidRPr="00B21AA4">
        <w:rPr>
          <w:rFonts w:ascii="Arial" w:hAnsi="Arial" w:cs="Arial"/>
          <w:sz w:val="20"/>
          <w:szCs w:val="20"/>
        </w:rPr>
        <w:t>: Predict and validate. Nat Rev Genet. 2017;18(5):275–291.</w:t>
      </w:r>
    </w:p>
    <w:p w14:paraId="2F4C068A" w14:textId="114E89A7" w:rsidR="00B21AA4" w:rsidRPr="00B21AA4" w:rsidRDefault="00B21AA4" w:rsidP="00B21AA4">
      <w:pPr>
        <w:rPr>
          <w:rFonts w:ascii="Arial" w:hAnsi="Arial" w:cs="Arial"/>
          <w:sz w:val="20"/>
          <w:szCs w:val="20"/>
        </w:rPr>
      </w:pPr>
      <w:proofErr w:type="spellStart"/>
      <w:r w:rsidRPr="00B21AA4">
        <w:rPr>
          <w:rFonts w:ascii="Arial" w:hAnsi="Arial" w:cs="Arial"/>
          <w:sz w:val="20"/>
          <w:szCs w:val="20"/>
        </w:rPr>
        <w:t>Hotamisligil</w:t>
      </w:r>
      <w:proofErr w:type="spellEnd"/>
      <w:r w:rsidRPr="00B21AA4">
        <w:rPr>
          <w:rFonts w:ascii="Arial" w:hAnsi="Arial" w:cs="Arial"/>
          <w:sz w:val="20"/>
          <w:szCs w:val="20"/>
        </w:rPr>
        <w:t xml:space="preserve"> GS. Inflammation and metabolic disorders. Nature. 2006;444(7121):860–867.</w:t>
      </w:r>
    </w:p>
    <w:p w14:paraId="2D88E321" w14:textId="20DB1F5A" w:rsidR="00B21AA4" w:rsidRPr="00B21AA4" w:rsidRDefault="00B21AA4" w:rsidP="00B21AA4">
      <w:pPr>
        <w:rPr>
          <w:rFonts w:ascii="Arial" w:hAnsi="Arial" w:cs="Arial"/>
          <w:sz w:val="20"/>
          <w:szCs w:val="20"/>
        </w:rPr>
      </w:pPr>
      <w:r w:rsidRPr="00B21AA4">
        <w:rPr>
          <w:rFonts w:ascii="Arial" w:hAnsi="Arial" w:cs="Arial"/>
          <w:sz w:val="20"/>
          <w:szCs w:val="20"/>
        </w:rPr>
        <w:t>Imai S, Guarente L. NAD+ and sirtuins in aging and disease. Trends Cell Biol. 2014;24(8):464–471.</w:t>
      </w:r>
    </w:p>
    <w:p w14:paraId="41C55177" w14:textId="0BADAD39" w:rsidR="00B21AA4" w:rsidRPr="00B21AA4" w:rsidRDefault="00B21AA4" w:rsidP="00B21AA4">
      <w:pPr>
        <w:rPr>
          <w:rFonts w:ascii="Arial" w:hAnsi="Arial" w:cs="Arial"/>
          <w:sz w:val="20"/>
          <w:szCs w:val="20"/>
        </w:rPr>
      </w:pPr>
      <w:r w:rsidRPr="00B21AA4">
        <w:rPr>
          <w:rFonts w:ascii="Arial" w:hAnsi="Arial" w:cs="Arial"/>
          <w:sz w:val="20"/>
          <w:szCs w:val="20"/>
        </w:rPr>
        <w:t>Jenkins TA, Nguyen JC, Polglaze KE, et al. Influence of tryptophan and serotonin on mood and cognition with a possible role of the gut-brain axis. Nutrients. 2016;8(1):56.</w:t>
      </w:r>
    </w:p>
    <w:p w14:paraId="40CC4886" w14:textId="4D5D3456" w:rsidR="00B21AA4" w:rsidRPr="00B21AA4" w:rsidRDefault="00B21AA4" w:rsidP="00B21AA4">
      <w:pPr>
        <w:rPr>
          <w:rFonts w:ascii="Arial" w:hAnsi="Arial" w:cs="Arial"/>
          <w:sz w:val="20"/>
          <w:szCs w:val="20"/>
        </w:rPr>
      </w:pPr>
      <w:r w:rsidRPr="00B21AA4">
        <w:rPr>
          <w:rFonts w:ascii="Arial" w:hAnsi="Arial" w:cs="Arial"/>
          <w:sz w:val="20"/>
          <w:szCs w:val="20"/>
        </w:rPr>
        <w:t xml:space="preserve">Kühn H, Banthiya S, van Leyen K. Mammalian lipoxygenases and their biological relevance. </w:t>
      </w:r>
      <w:proofErr w:type="spellStart"/>
      <w:r w:rsidRPr="00B21AA4">
        <w:rPr>
          <w:rFonts w:ascii="Arial" w:hAnsi="Arial" w:cs="Arial"/>
          <w:sz w:val="20"/>
          <w:szCs w:val="20"/>
        </w:rPr>
        <w:t>Biochim</w:t>
      </w:r>
      <w:proofErr w:type="spellEnd"/>
      <w:r w:rsidRPr="00B21AA4">
        <w:rPr>
          <w:rFonts w:ascii="Arial" w:hAnsi="Arial" w:cs="Arial"/>
          <w:sz w:val="20"/>
          <w:szCs w:val="20"/>
        </w:rPr>
        <w:t xml:space="preserve"> </w:t>
      </w:r>
      <w:proofErr w:type="spellStart"/>
      <w:r w:rsidRPr="00B21AA4">
        <w:rPr>
          <w:rFonts w:ascii="Arial" w:hAnsi="Arial" w:cs="Arial"/>
          <w:sz w:val="20"/>
          <w:szCs w:val="20"/>
        </w:rPr>
        <w:t>Biophys</w:t>
      </w:r>
      <w:proofErr w:type="spellEnd"/>
      <w:r w:rsidRPr="00B21AA4">
        <w:rPr>
          <w:rFonts w:ascii="Arial" w:hAnsi="Arial" w:cs="Arial"/>
          <w:sz w:val="20"/>
          <w:szCs w:val="20"/>
        </w:rPr>
        <w:t xml:space="preserve"> Acta Mol Cell Biol Lipids. 2015;1851(4):308–330.</w:t>
      </w:r>
    </w:p>
    <w:p w14:paraId="4405F1D5" w14:textId="750B4B85" w:rsidR="00B21AA4" w:rsidRPr="00B21AA4" w:rsidRDefault="00B21AA4" w:rsidP="00B21AA4">
      <w:pPr>
        <w:rPr>
          <w:rFonts w:ascii="Arial" w:hAnsi="Arial" w:cs="Arial"/>
          <w:sz w:val="20"/>
          <w:szCs w:val="20"/>
        </w:rPr>
      </w:pPr>
      <w:proofErr w:type="spellStart"/>
      <w:r w:rsidRPr="00B21AA4">
        <w:rPr>
          <w:rFonts w:ascii="Arial" w:hAnsi="Arial" w:cs="Arial"/>
          <w:sz w:val="20"/>
          <w:szCs w:val="20"/>
        </w:rPr>
        <w:t>Laferrère</w:t>
      </w:r>
      <w:proofErr w:type="spellEnd"/>
      <w:r w:rsidRPr="00B21AA4">
        <w:rPr>
          <w:rFonts w:ascii="Arial" w:hAnsi="Arial" w:cs="Arial"/>
          <w:sz w:val="20"/>
          <w:szCs w:val="20"/>
        </w:rPr>
        <w:t xml:space="preserve"> B, Teixeira J, McGinty J, et al. Effect of weight loss by gastric bypass surgery versus hypocaloric diet on glucose and incretin levels in patients with type 2 diabetes. J Clin Endocrinol </w:t>
      </w:r>
      <w:proofErr w:type="spellStart"/>
      <w:r w:rsidRPr="00B21AA4">
        <w:rPr>
          <w:rFonts w:ascii="Arial" w:hAnsi="Arial" w:cs="Arial"/>
          <w:sz w:val="20"/>
          <w:szCs w:val="20"/>
        </w:rPr>
        <w:t>Metab</w:t>
      </w:r>
      <w:proofErr w:type="spellEnd"/>
      <w:r w:rsidRPr="00B21AA4">
        <w:rPr>
          <w:rFonts w:ascii="Arial" w:hAnsi="Arial" w:cs="Arial"/>
          <w:sz w:val="20"/>
          <w:szCs w:val="20"/>
        </w:rPr>
        <w:t>. 2008;93(7):2479–2485.</w:t>
      </w:r>
    </w:p>
    <w:p w14:paraId="398D0742" w14:textId="693A1A2E" w:rsidR="00B21AA4" w:rsidRPr="00B21AA4" w:rsidRDefault="00B21AA4" w:rsidP="00B21AA4">
      <w:pPr>
        <w:rPr>
          <w:rFonts w:ascii="Arial" w:hAnsi="Arial" w:cs="Arial"/>
          <w:sz w:val="20"/>
          <w:szCs w:val="20"/>
        </w:rPr>
      </w:pPr>
      <w:r w:rsidRPr="00B21AA4">
        <w:rPr>
          <w:rFonts w:ascii="Arial" w:hAnsi="Arial" w:cs="Arial"/>
          <w:sz w:val="20"/>
          <w:szCs w:val="20"/>
        </w:rPr>
        <w:t xml:space="preserve">le Roux CW, Aylwin SJ, </w:t>
      </w:r>
      <w:proofErr w:type="spellStart"/>
      <w:r w:rsidRPr="00B21AA4">
        <w:rPr>
          <w:rFonts w:ascii="Arial" w:hAnsi="Arial" w:cs="Arial"/>
          <w:sz w:val="20"/>
          <w:szCs w:val="20"/>
        </w:rPr>
        <w:t>Batterham</w:t>
      </w:r>
      <w:proofErr w:type="spellEnd"/>
      <w:r w:rsidRPr="00B21AA4">
        <w:rPr>
          <w:rFonts w:ascii="Arial" w:hAnsi="Arial" w:cs="Arial"/>
          <w:sz w:val="20"/>
          <w:szCs w:val="20"/>
        </w:rPr>
        <w:t xml:space="preserve"> RL, et al. Gut hormone profiles following bariatric surgery favor an anorectic state, facilitate weight loss, and improve metabolic parameters. Ann Surg. 2006;243(1):108–114.</w:t>
      </w:r>
    </w:p>
    <w:p w14:paraId="59680B56" w14:textId="6BFD2324" w:rsidR="00B21AA4" w:rsidRPr="00B21AA4" w:rsidRDefault="00B21AA4" w:rsidP="00B21AA4">
      <w:pPr>
        <w:rPr>
          <w:rFonts w:ascii="Arial" w:hAnsi="Arial" w:cs="Arial"/>
          <w:sz w:val="20"/>
          <w:szCs w:val="20"/>
        </w:rPr>
      </w:pPr>
      <w:r w:rsidRPr="00B21AA4">
        <w:rPr>
          <w:rFonts w:ascii="Arial" w:hAnsi="Arial" w:cs="Arial"/>
          <w:sz w:val="20"/>
          <w:szCs w:val="20"/>
        </w:rPr>
        <w:t xml:space="preserve">Lim EL, Hollingsworth KG, Aribisala BS, et al. Reversal of type 2 diabetes: </w:t>
      </w:r>
      <w:proofErr w:type="spellStart"/>
      <w:r w:rsidRPr="00B21AA4">
        <w:rPr>
          <w:rFonts w:ascii="Arial" w:hAnsi="Arial" w:cs="Arial"/>
          <w:sz w:val="20"/>
          <w:szCs w:val="20"/>
        </w:rPr>
        <w:t>Normalisation</w:t>
      </w:r>
      <w:proofErr w:type="spellEnd"/>
      <w:r w:rsidRPr="00B21AA4">
        <w:rPr>
          <w:rFonts w:ascii="Arial" w:hAnsi="Arial" w:cs="Arial"/>
          <w:sz w:val="20"/>
          <w:szCs w:val="20"/>
        </w:rPr>
        <w:t xml:space="preserve"> of beta cell function in association with decreased pancreas and liver triacylglycerol. </w:t>
      </w:r>
      <w:proofErr w:type="spellStart"/>
      <w:r w:rsidRPr="00B21AA4">
        <w:rPr>
          <w:rFonts w:ascii="Arial" w:hAnsi="Arial" w:cs="Arial"/>
          <w:sz w:val="20"/>
          <w:szCs w:val="20"/>
        </w:rPr>
        <w:t>Diabetologia</w:t>
      </w:r>
      <w:proofErr w:type="spellEnd"/>
      <w:r w:rsidRPr="00B21AA4">
        <w:rPr>
          <w:rFonts w:ascii="Arial" w:hAnsi="Arial" w:cs="Arial"/>
          <w:sz w:val="20"/>
          <w:szCs w:val="20"/>
        </w:rPr>
        <w:t>. 2011;54(10):2506–2514.</w:t>
      </w:r>
    </w:p>
    <w:p w14:paraId="01B99018" w14:textId="3D11B943" w:rsidR="00B21AA4" w:rsidRPr="00B21AA4" w:rsidRDefault="00B21AA4" w:rsidP="00B21AA4">
      <w:pPr>
        <w:rPr>
          <w:rFonts w:ascii="Arial" w:hAnsi="Arial" w:cs="Arial"/>
          <w:sz w:val="20"/>
          <w:szCs w:val="20"/>
        </w:rPr>
      </w:pPr>
      <w:r w:rsidRPr="00B21AA4">
        <w:rPr>
          <w:rFonts w:ascii="Arial" w:hAnsi="Arial" w:cs="Arial"/>
          <w:sz w:val="20"/>
          <w:szCs w:val="20"/>
        </w:rPr>
        <w:t xml:space="preserve">Liou AP, </w:t>
      </w:r>
      <w:proofErr w:type="spellStart"/>
      <w:r w:rsidRPr="00B21AA4">
        <w:rPr>
          <w:rFonts w:ascii="Arial" w:hAnsi="Arial" w:cs="Arial"/>
          <w:sz w:val="20"/>
          <w:szCs w:val="20"/>
        </w:rPr>
        <w:t>Paziuk</w:t>
      </w:r>
      <w:proofErr w:type="spellEnd"/>
      <w:r w:rsidRPr="00B21AA4">
        <w:rPr>
          <w:rFonts w:ascii="Arial" w:hAnsi="Arial" w:cs="Arial"/>
          <w:sz w:val="20"/>
          <w:szCs w:val="20"/>
        </w:rPr>
        <w:t xml:space="preserve"> M, Luevano JM Jr, et al. Conserved shifts in the gut microbiota due to gastric bypass reduce host weight and adiposity. Sci </w:t>
      </w:r>
      <w:proofErr w:type="spellStart"/>
      <w:r w:rsidRPr="00B21AA4">
        <w:rPr>
          <w:rFonts w:ascii="Arial" w:hAnsi="Arial" w:cs="Arial"/>
          <w:sz w:val="20"/>
          <w:szCs w:val="20"/>
        </w:rPr>
        <w:t>Transl</w:t>
      </w:r>
      <w:proofErr w:type="spellEnd"/>
      <w:r w:rsidRPr="00B21AA4">
        <w:rPr>
          <w:rFonts w:ascii="Arial" w:hAnsi="Arial" w:cs="Arial"/>
          <w:sz w:val="20"/>
          <w:szCs w:val="20"/>
        </w:rPr>
        <w:t xml:space="preserve"> Med. 2013;5(178):178ra41.</w:t>
      </w:r>
    </w:p>
    <w:p w14:paraId="221F604F" w14:textId="631BD044" w:rsidR="00B21AA4" w:rsidRPr="00B21AA4" w:rsidRDefault="00B21AA4" w:rsidP="00B21AA4">
      <w:pPr>
        <w:rPr>
          <w:rFonts w:ascii="Arial" w:hAnsi="Arial" w:cs="Arial"/>
          <w:sz w:val="20"/>
          <w:szCs w:val="20"/>
        </w:rPr>
      </w:pPr>
      <w:r w:rsidRPr="00B21AA4">
        <w:rPr>
          <w:rFonts w:ascii="Arial" w:hAnsi="Arial" w:cs="Arial"/>
          <w:sz w:val="20"/>
          <w:szCs w:val="20"/>
        </w:rPr>
        <w:t>Madsbad S, Dirksen C, Holst JJ. Mechanisms of changes in glucose metabolism and bodyweight after bariatric surgery. Lancet Diabetes Endocrinol. 2014;2(2):152–164.</w:t>
      </w:r>
    </w:p>
    <w:p w14:paraId="310C77B2" w14:textId="74B872DF" w:rsidR="00B21AA4" w:rsidRPr="00B21AA4" w:rsidRDefault="00B21AA4" w:rsidP="00B21AA4">
      <w:pPr>
        <w:rPr>
          <w:rFonts w:ascii="Arial" w:hAnsi="Arial" w:cs="Arial"/>
          <w:sz w:val="20"/>
          <w:szCs w:val="20"/>
        </w:rPr>
      </w:pPr>
      <w:r w:rsidRPr="00B21AA4">
        <w:rPr>
          <w:rFonts w:ascii="Arial" w:hAnsi="Arial" w:cs="Arial"/>
          <w:sz w:val="20"/>
          <w:szCs w:val="20"/>
        </w:rPr>
        <w:t xml:space="preserve">McGarry JD, Brown NF. The mitochondrial carnitine </w:t>
      </w:r>
      <w:proofErr w:type="spellStart"/>
      <w:r w:rsidRPr="00B21AA4">
        <w:rPr>
          <w:rFonts w:ascii="Arial" w:hAnsi="Arial" w:cs="Arial"/>
          <w:sz w:val="20"/>
          <w:szCs w:val="20"/>
        </w:rPr>
        <w:t>palmitoyltransferase</w:t>
      </w:r>
      <w:proofErr w:type="spellEnd"/>
      <w:r w:rsidRPr="00B21AA4">
        <w:rPr>
          <w:rFonts w:ascii="Arial" w:hAnsi="Arial" w:cs="Arial"/>
          <w:sz w:val="20"/>
          <w:szCs w:val="20"/>
        </w:rPr>
        <w:t xml:space="preserve"> system. From concept to molecular analysis. </w:t>
      </w:r>
      <w:proofErr w:type="spellStart"/>
      <w:r w:rsidRPr="00B21AA4">
        <w:rPr>
          <w:rFonts w:ascii="Arial" w:hAnsi="Arial" w:cs="Arial"/>
          <w:sz w:val="20"/>
          <w:szCs w:val="20"/>
        </w:rPr>
        <w:t>Eur</w:t>
      </w:r>
      <w:proofErr w:type="spellEnd"/>
      <w:r w:rsidRPr="00B21AA4">
        <w:rPr>
          <w:rFonts w:ascii="Arial" w:hAnsi="Arial" w:cs="Arial"/>
          <w:sz w:val="20"/>
          <w:szCs w:val="20"/>
        </w:rPr>
        <w:t xml:space="preserve"> J </w:t>
      </w:r>
      <w:proofErr w:type="spellStart"/>
      <w:r w:rsidRPr="00B21AA4">
        <w:rPr>
          <w:rFonts w:ascii="Arial" w:hAnsi="Arial" w:cs="Arial"/>
          <w:sz w:val="20"/>
          <w:szCs w:val="20"/>
        </w:rPr>
        <w:t>Biochem</w:t>
      </w:r>
      <w:proofErr w:type="spellEnd"/>
      <w:r w:rsidRPr="00B21AA4">
        <w:rPr>
          <w:rFonts w:ascii="Arial" w:hAnsi="Arial" w:cs="Arial"/>
          <w:sz w:val="20"/>
          <w:szCs w:val="20"/>
        </w:rPr>
        <w:t>. 1997;244(1):1–14.</w:t>
      </w:r>
    </w:p>
    <w:p w14:paraId="5360C1ED" w14:textId="484AB2C1" w:rsidR="00B21AA4" w:rsidRPr="00B21AA4" w:rsidRDefault="00B21AA4" w:rsidP="00B21AA4">
      <w:pPr>
        <w:rPr>
          <w:rFonts w:ascii="Arial" w:hAnsi="Arial" w:cs="Arial"/>
          <w:sz w:val="20"/>
          <w:szCs w:val="20"/>
        </w:rPr>
      </w:pPr>
      <w:proofErr w:type="spellStart"/>
      <w:r w:rsidRPr="00B21AA4">
        <w:rPr>
          <w:rFonts w:ascii="Arial" w:hAnsi="Arial" w:cs="Arial"/>
          <w:sz w:val="20"/>
          <w:szCs w:val="20"/>
        </w:rPr>
        <w:t>Oxenkrug</w:t>
      </w:r>
      <w:proofErr w:type="spellEnd"/>
      <w:r w:rsidRPr="00B21AA4">
        <w:rPr>
          <w:rFonts w:ascii="Arial" w:hAnsi="Arial" w:cs="Arial"/>
          <w:sz w:val="20"/>
          <w:szCs w:val="20"/>
        </w:rPr>
        <w:t xml:space="preserve"> GF. Metabolic syndrome, age-associated neuroendocrine disorders, and dysregulation of tryptophan–kynurenine metabolism. Ann N Y Acad Sci. 2010;1199:1–14.</w:t>
      </w:r>
    </w:p>
    <w:p w14:paraId="0F5B2B79" w14:textId="085BE41C" w:rsidR="00B21AA4" w:rsidRPr="00B21AA4" w:rsidRDefault="00B21AA4" w:rsidP="00B21AA4">
      <w:pPr>
        <w:rPr>
          <w:rFonts w:ascii="Arial" w:hAnsi="Arial" w:cs="Arial"/>
          <w:sz w:val="20"/>
          <w:szCs w:val="20"/>
        </w:rPr>
      </w:pPr>
      <w:r w:rsidRPr="00B21AA4">
        <w:rPr>
          <w:rFonts w:ascii="Arial" w:hAnsi="Arial" w:cs="Arial"/>
          <w:sz w:val="20"/>
          <w:szCs w:val="20"/>
        </w:rPr>
        <w:t>Patti ME, Houten SM, Bianco AC, et al. Serum bile acids are higher in humans with prior gastric bypass: Potential contribution to improved glucose and lipid metabolism. Obesity (Silver Spring). 2009;17(9):1671–1677.</w:t>
      </w:r>
    </w:p>
    <w:p w14:paraId="7C706A6A" w14:textId="400E86F3" w:rsidR="00B21AA4" w:rsidRPr="00B21AA4" w:rsidRDefault="00B21AA4" w:rsidP="00B21AA4">
      <w:pPr>
        <w:rPr>
          <w:rFonts w:ascii="Arial" w:hAnsi="Arial" w:cs="Arial"/>
          <w:sz w:val="20"/>
          <w:szCs w:val="20"/>
        </w:rPr>
      </w:pPr>
      <w:r w:rsidRPr="00B21AA4">
        <w:rPr>
          <w:rFonts w:ascii="Arial" w:hAnsi="Arial" w:cs="Arial"/>
          <w:sz w:val="20"/>
          <w:szCs w:val="20"/>
        </w:rPr>
        <w:t xml:space="preserve">Penney NC, Kinross J, Newton RC, et al. The role of bile acids in reducing the metabolic complications of obesity after bariatric surgery: A systematic review. Int J </w:t>
      </w:r>
      <w:proofErr w:type="spellStart"/>
      <w:r w:rsidRPr="00B21AA4">
        <w:rPr>
          <w:rFonts w:ascii="Arial" w:hAnsi="Arial" w:cs="Arial"/>
          <w:sz w:val="20"/>
          <w:szCs w:val="20"/>
        </w:rPr>
        <w:t>Obes</w:t>
      </w:r>
      <w:proofErr w:type="spellEnd"/>
      <w:r w:rsidRPr="00B21AA4">
        <w:rPr>
          <w:rFonts w:ascii="Arial" w:hAnsi="Arial" w:cs="Arial"/>
          <w:sz w:val="20"/>
          <w:szCs w:val="20"/>
        </w:rPr>
        <w:t xml:space="preserve"> (Lond). 2015;39(11):1565–1574.</w:t>
      </w:r>
    </w:p>
    <w:p w14:paraId="050B1F10" w14:textId="5FE06EFB" w:rsidR="00B21AA4" w:rsidRPr="00B21AA4" w:rsidRDefault="00B21AA4" w:rsidP="00B21AA4">
      <w:pPr>
        <w:rPr>
          <w:rFonts w:ascii="Arial" w:hAnsi="Arial" w:cs="Arial"/>
          <w:sz w:val="20"/>
          <w:szCs w:val="20"/>
        </w:rPr>
      </w:pPr>
      <w:r w:rsidRPr="00B21AA4">
        <w:rPr>
          <w:rFonts w:ascii="Arial" w:hAnsi="Arial" w:cs="Arial"/>
          <w:sz w:val="20"/>
          <w:szCs w:val="20"/>
        </w:rPr>
        <w:t xml:space="preserve">Phang JM. Proline metabolism in cell regulation and cancer biology: Recent advances and hypotheses. </w:t>
      </w:r>
      <w:proofErr w:type="spellStart"/>
      <w:r w:rsidRPr="00B21AA4">
        <w:rPr>
          <w:rFonts w:ascii="Arial" w:hAnsi="Arial" w:cs="Arial"/>
          <w:sz w:val="20"/>
          <w:szCs w:val="20"/>
        </w:rPr>
        <w:t>Antioxid</w:t>
      </w:r>
      <w:proofErr w:type="spellEnd"/>
      <w:r w:rsidRPr="00B21AA4">
        <w:rPr>
          <w:rFonts w:ascii="Arial" w:hAnsi="Arial" w:cs="Arial"/>
          <w:sz w:val="20"/>
          <w:szCs w:val="20"/>
        </w:rPr>
        <w:t xml:space="preserve"> Redox Signal. 2019;30(4):635–649.</w:t>
      </w:r>
    </w:p>
    <w:p w14:paraId="79E294CF" w14:textId="466D0833" w:rsidR="00B21AA4" w:rsidRPr="00B21AA4" w:rsidRDefault="00B21AA4" w:rsidP="00B21AA4">
      <w:pPr>
        <w:rPr>
          <w:rFonts w:ascii="Arial" w:hAnsi="Arial" w:cs="Arial"/>
          <w:sz w:val="20"/>
          <w:szCs w:val="20"/>
        </w:rPr>
      </w:pPr>
      <w:r w:rsidRPr="00B21AA4">
        <w:rPr>
          <w:rFonts w:ascii="Arial" w:hAnsi="Arial" w:cs="Arial"/>
          <w:sz w:val="20"/>
          <w:szCs w:val="20"/>
        </w:rPr>
        <w:t xml:space="preserve">Pilz S, </w:t>
      </w:r>
      <w:proofErr w:type="spellStart"/>
      <w:r w:rsidRPr="00B21AA4">
        <w:rPr>
          <w:rFonts w:ascii="Arial" w:hAnsi="Arial" w:cs="Arial"/>
          <w:sz w:val="20"/>
          <w:szCs w:val="20"/>
        </w:rPr>
        <w:t>Meinitzer</w:t>
      </w:r>
      <w:proofErr w:type="spellEnd"/>
      <w:r w:rsidRPr="00B21AA4">
        <w:rPr>
          <w:rFonts w:ascii="Arial" w:hAnsi="Arial" w:cs="Arial"/>
          <w:sz w:val="20"/>
          <w:szCs w:val="20"/>
        </w:rPr>
        <w:t xml:space="preserve"> A, Drechsler C, et al. Low homoarginine concentration is a novel risk factor for heart disease. Heart. 2011;97(15):1222–1227.</w:t>
      </w:r>
    </w:p>
    <w:p w14:paraId="6A2D38B6" w14:textId="62A09B27" w:rsidR="00B21AA4" w:rsidRPr="00B21AA4" w:rsidRDefault="00B21AA4" w:rsidP="00B21AA4">
      <w:pPr>
        <w:rPr>
          <w:rFonts w:ascii="Arial" w:hAnsi="Arial" w:cs="Arial"/>
          <w:sz w:val="20"/>
          <w:szCs w:val="20"/>
        </w:rPr>
      </w:pPr>
      <w:r w:rsidRPr="00B21AA4">
        <w:rPr>
          <w:rFonts w:ascii="Arial" w:hAnsi="Arial" w:cs="Arial"/>
          <w:sz w:val="20"/>
          <w:szCs w:val="20"/>
        </w:rPr>
        <w:lastRenderedPageBreak/>
        <w:t xml:space="preserve">Roberts MD, Gilpin L, Parker KB, et al. Creatine supplementation does not affect the metabolic response to a ramp lactate test. J Strength Cond Res. 2014;28(1):29–37. [Note: For BAIBA-specific myokine function, see also: </w:t>
      </w:r>
      <w:proofErr w:type="spellStart"/>
      <w:r w:rsidRPr="00B21AA4">
        <w:rPr>
          <w:rFonts w:ascii="Arial" w:hAnsi="Arial" w:cs="Arial"/>
          <w:sz w:val="20"/>
          <w:szCs w:val="20"/>
        </w:rPr>
        <w:t>Tanianskii</w:t>
      </w:r>
      <w:proofErr w:type="spellEnd"/>
      <w:r w:rsidRPr="00B21AA4">
        <w:rPr>
          <w:rFonts w:ascii="Arial" w:hAnsi="Arial" w:cs="Arial"/>
          <w:sz w:val="20"/>
          <w:szCs w:val="20"/>
        </w:rPr>
        <w:t xml:space="preserve"> DA et al. Beta-</w:t>
      </w:r>
      <w:proofErr w:type="spellStart"/>
      <w:r w:rsidRPr="00B21AA4">
        <w:rPr>
          <w:rFonts w:ascii="Arial" w:hAnsi="Arial" w:cs="Arial"/>
          <w:sz w:val="20"/>
          <w:szCs w:val="20"/>
        </w:rPr>
        <w:t>aminoisobutyric</w:t>
      </w:r>
      <w:proofErr w:type="spellEnd"/>
      <w:r w:rsidRPr="00B21AA4">
        <w:rPr>
          <w:rFonts w:ascii="Arial" w:hAnsi="Arial" w:cs="Arial"/>
          <w:sz w:val="20"/>
          <w:szCs w:val="20"/>
        </w:rPr>
        <w:t xml:space="preserve"> acid as a novel regulator of carbohydrate and lipid metabolism. Nutrients. 2019;11(3):524.]</w:t>
      </w:r>
    </w:p>
    <w:p w14:paraId="7AF4A196" w14:textId="6B060FFF" w:rsidR="00B21AA4" w:rsidRPr="00B21AA4" w:rsidRDefault="00B21AA4" w:rsidP="00B21AA4">
      <w:pPr>
        <w:rPr>
          <w:rFonts w:ascii="Arial" w:hAnsi="Arial" w:cs="Arial"/>
          <w:sz w:val="20"/>
          <w:szCs w:val="20"/>
        </w:rPr>
      </w:pPr>
      <w:r w:rsidRPr="00B21AA4">
        <w:rPr>
          <w:rFonts w:ascii="Arial" w:hAnsi="Arial" w:cs="Arial"/>
          <w:sz w:val="20"/>
          <w:szCs w:val="20"/>
        </w:rPr>
        <w:t>Rubino F, Nathan DM, Eckel RH, et al. Metabolic surgery in the treatment algorithm for type 2 diabetes: A joint statement by international diabetes organizations. Diabetes Care. 2016;39(6):861–877.</w:t>
      </w:r>
    </w:p>
    <w:p w14:paraId="7FA312FF" w14:textId="7BE06816" w:rsidR="00B21AA4" w:rsidRPr="00B21AA4" w:rsidRDefault="00B21AA4" w:rsidP="00B21AA4">
      <w:pPr>
        <w:rPr>
          <w:rFonts w:ascii="Arial" w:hAnsi="Arial" w:cs="Arial"/>
          <w:sz w:val="20"/>
          <w:szCs w:val="20"/>
        </w:rPr>
      </w:pPr>
      <w:proofErr w:type="spellStart"/>
      <w:r w:rsidRPr="00B21AA4">
        <w:rPr>
          <w:rFonts w:ascii="Arial" w:hAnsi="Arial" w:cs="Arial"/>
          <w:sz w:val="20"/>
          <w:szCs w:val="20"/>
        </w:rPr>
        <w:t>Scalbert</w:t>
      </w:r>
      <w:proofErr w:type="spellEnd"/>
      <w:r w:rsidRPr="00B21AA4">
        <w:rPr>
          <w:rFonts w:ascii="Arial" w:hAnsi="Arial" w:cs="Arial"/>
          <w:sz w:val="20"/>
          <w:szCs w:val="20"/>
        </w:rPr>
        <w:t xml:space="preserve"> A, Brennan L, </w:t>
      </w:r>
      <w:proofErr w:type="spellStart"/>
      <w:r w:rsidRPr="00B21AA4">
        <w:rPr>
          <w:rFonts w:ascii="Arial" w:hAnsi="Arial" w:cs="Arial"/>
          <w:sz w:val="20"/>
          <w:szCs w:val="20"/>
        </w:rPr>
        <w:t>Manach</w:t>
      </w:r>
      <w:proofErr w:type="spellEnd"/>
      <w:r w:rsidRPr="00B21AA4">
        <w:rPr>
          <w:rFonts w:ascii="Arial" w:hAnsi="Arial" w:cs="Arial"/>
          <w:sz w:val="20"/>
          <w:szCs w:val="20"/>
        </w:rPr>
        <w:t xml:space="preserve"> C, et al. The food metabolome: A window over dietary exposure. Am J Clin Nutr. 2014;99(6):1286–1308.</w:t>
      </w:r>
    </w:p>
    <w:p w14:paraId="1E897C04" w14:textId="5A3344BA" w:rsidR="00B21AA4" w:rsidRPr="00B21AA4" w:rsidRDefault="00B21AA4" w:rsidP="00B21AA4">
      <w:pPr>
        <w:rPr>
          <w:rFonts w:ascii="Arial" w:hAnsi="Arial" w:cs="Arial"/>
          <w:sz w:val="20"/>
          <w:szCs w:val="20"/>
        </w:rPr>
      </w:pPr>
      <w:r w:rsidRPr="00B21AA4">
        <w:rPr>
          <w:rFonts w:ascii="Arial" w:hAnsi="Arial" w:cs="Arial"/>
          <w:sz w:val="20"/>
          <w:szCs w:val="20"/>
        </w:rPr>
        <w:t>Schnyder S, Handschin C. Skeletal muscle as an endocrine organ: PGC-1α, myokines and exercise. Bone. 2015;80:115–125.</w:t>
      </w:r>
    </w:p>
    <w:p w14:paraId="6791CB35" w14:textId="5CC705B8" w:rsidR="00B21AA4" w:rsidRPr="00B21AA4" w:rsidRDefault="00B21AA4" w:rsidP="00B21AA4">
      <w:pPr>
        <w:rPr>
          <w:rFonts w:ascii="Arial" w:hAnsi="Arial" w:cs="Arial"/>
          <w:sz w:val="20"/>
          <w:szCs w:val="20"/>
        </w:rPr>
      </w:pPr>
      <w:r w:rsidRPr="00B21AA4">
        <w:rPr>
          <w:rFonts w:ascii="Arial" w:hAnsi="Arial" w:cs="Arial"/>
          <w:sz w:val="20"/>
          <w:szCs w:val="20"/>
        </w:rPr>
        <w:t xml:space="preserve">Seoane-Collazo P, Fernø J, Gonzalez F, et al. Hypothalamic-autonomic control of energy homeostasis. Endocrine. 2015;50(2):276–291. [See also: Seoane-Collazo P et al. Nat </w:t>
      </w:r>
      <w:proofErr w:type="spellStart"/>
      <w:r w:rsidRPr="00B21AA4">
        <w:rPr>
          <w:rFonts w:ascii="Arial" w:hAnsi="Arial" w:cs="Arial"/>
          <w:sz w:val="20"/>
          <w:szCs w:val="20"/>
        </w:rPr>
        <w:t>Metab</w:t>
      </w:r>
      <w:proofErr w:type="spellEnd"/>
      <w:r w:rsidRPr="00B21AA4">
        <w:rPr>
          <w:rFonts w:ascii="Arial" w:hAnsi="Arial" w:cs="Arial"/>
          <w:sz w:val="20"/>
          <w:szCs w:val="20"/>
        </w:rPr>
        <w:t xml:space="preserve"> 2020 for malonyl-CoA hypothalamic axis.]</w:t>
      </w:r>
    </w:p>
    <w:p w14:paraId="7467863D" w14:textId="051048D7" w:rsidR="00B21AA4" w:rsidRPr="00B21AA4" w:rsidRDefault="00B21AA4" w:rsidP="00B21AA4">
      <w:pPr>
        <w:rPr>
          <w:rFonts w:ascii="Arial" w:hAnsi="Arial" w:cs="Arial"/>
          <w:sz w:val="20"/>
          <w:szCs w:val="20"/>
        </w:rPr>
      </w:pPr>
      <w:r w:rsidRPr="00B21AA4">
        <w:rPr>
          <w:rFonts w:ascii="Arial" w:hAnsi="Arial" w:cs="Arial"/>
          <w:sz w:val="20"/>
          <w:szCs w:val="20"/>
        </w:rPr>
        <w:t xml:space="preserve">Stanislawski MA, </w:t>
      </w:r>
      <w:proofErr w:type="spellStart"/>
      <w:r w:rsidRPr="00B21AA4">
        <w:rPr>
          <w:rFonts w:ascii="Arial" w:hAnsi="Arial" w:cs="Arial"/>
          <w:sz w:val="20"/>
          <w:szCs w:val="20"/>
        </w:rPr>
        <w:t>Dabelea</w:t>
      </w:r>
      <w:proofErr w:type="spellEnd"/>
      <w:r w:rsidRPr="00B21AA4">
        <w:rPr>
          <w:rFonts w:ascii="Arial" w:hAnsi="Arial" w:cs="Arial"/>
          <w:sz w:val="20"/>
          <w:szCs w:val="20"/>
        </w:rPr>
        <w:t xml:space="preserve"> D, Wagner BD, et al. </w:t>
      </w:r>
      <w:proofErr w:type="gramStart"/>
      <w:r w:rsidRPr="00B21AA4">
        <w:rPr>
          <w:rFonts w:ascii="Arial" w:hAnsi="Arial" w:cs="Arial"/>
          <w:sz w:val="20"/>
          <w:szCs w:val="20"/>
        </w:rPr>
        <w:t>Pre-surgical</w:t>
      </w:r>
      <w:proofErr w:type="gramEnd"/>
      <w:r w:rsidRPr="00B21AA4">
        <w:rPr>
          <w:rFonts w:ascii="Arial" w:hAnsi="Arial" w:cs="Arial"/>
          <w:sz w:val="20"/>
          <w:szCs w:val="20"/>
        </w:rPr>
        <w:t xml:space="preserve"> gut microbiota and postoperative changes in body weight, appetite, and energy intake after Roux-en-Y gastric bypass surgery. </w:t>
      </w:r>
      <w:proofErr w:type="spellStart"/>
      <w:r w:rsidRPr="00B21AA4">
        <w:rPr>
          <w:rFonts w:ascii="Arial" w:hAnsi="Arial" w:cs="Arial"/>
          <w:sz w:val="20"/>
          <w:szCs w:val="20"/>
        </w:rPr>
        <w:t>npj</w:t>
      </w:r>
      <w:proofErr w:type="spellEnd"/>
      <w:r w:rsidRPr="00B21AA4">
        <w:rPr>
          <w:rFonts w:ascii="Arial" w:hAnsi="Arial" w:cs="Arial"/>
          <w:sz w:val="20"/>
          <w:szCs w:val="20"/>
        </w:rPr>
        <w:t xml:space="preserve"> Biofilms Microbiomes. 2019;5(1):32.</w:t>
      </w:r>
    </w:p>
    <w:p w14:paraId="04AC19E4" w14:textId="36C6D619" w:rsidR="00B21AA4" w:rsidRPr="00B21AA4" w:rsidRDefault="00B21AA4" w:rsidP="00B21AA4">
      <w:pPr>
        <w:rPr>
          <w:rFonts w:ascii="Arial" w:hAnsi="Arial" w:cs="Arial"/>
          <w:sz w:val="20"/>
          <w:szCs w:val="20"/>
        </w:rPr>
      </w:pPr>
      <w:r w:rsidRPr="00B21AA4">
        <w:rPr>
          <w:rFonts w:ascii="Arial" w:hAnsi="Arial" w:cs="Arial"/>
          <w:sz w:val="20"/>
          <w:szCs w:val="20"/>
        </w:rPr>
        <w:t xml:space="preserve">Sun K, </w:t>
      </w:r>
      <w:proofErr w:type="spellStart"/>
      <w:r w:rsidRPr="00B21AA4">
        <w:rPr>
          <w:rFonts w:ascii="Arial" w:hAnsi="Arial" w:cs="Arial"/>
          <w:sz w:val="20"/>
          <w:szCs w:val="20"/>
        </w:rPr>
        <w:t>Kusminski</w:t>
      </w:r>
      <w:proofErr w:type="spellEnd"/>
      <w:r w:rsidRPr="00B21AA4">
        <w:rPr>
          <w:rFonts w:ascii="Arial" w:hAnsi="Arial" w:cs="Arial"/>
          <w:sz w:val="20"/>
          <w:szCs w:val="20"/>
        </w:rPr>
        <w:t xml:space="preserve"> CM, Scherer PE. Adipose tissue remodeling and obesity. J Clin Invest. 2011;121(6):2094–2101.</w:t>
      </w:r>
    </w:p>
    <w:p w14:paraId="4E15869F" w14:textId="59D40B6A" w:rsidR="00B21AA4" w:rsidRPr="00B21AA4" w:rsidRDefault="00B21AA4" w:rsidP="00B21AA4">
      <w:pPr>
        <w:rPr>
          <w:rFonts w:ascii="Arial" w:hAnsi="Arial" w:cs="Arial"/>
          <w:sz w:val="20"/>
          <w:szCs w:val="20"/>
        </w:rPr>
      </w:pPr>
      <w:r w:rsidRPr="00B21AA4">
        <w:rPr>
          <w:rFonts w:ascii="Arial" w:hAnsi="Arial" w:cs="Arial"/>
          <w:sz w:val="20"/>
          <w:szCs w:val="20"/>
        </w:rPr>
        <w:t>Svane MS, Bojsen-Møller KN, Martinussen C, et al. Postprandial nutrient handling and gastrointestinal hormone secretion after Roux-en-Y gastric bypass vs sleeve gastrectomy. Gastroenterology. 2019;156(6):1627–1641.</w:t>
      </w:r>
    </w:p>
    <w:p w14:paraId="195A2DB1" w14:textId="47F9EBB3" w:rsidR="00B21AA4" w:rsidRPr="00B21AA4" w:rsidRDefault="00B21AA4" w:rsidP="00B21AA4">
      <w:pPr>
        <w:rPr>
          <w:rFonts w:ascii="Arial" w:hAnsi="Arial" w:cs="Arial"/>
          <w:sz w:val="20"/>
          <w:szCs w:val="20"/>
        </w:rPr>
      </w:pPr>
      <w:r w:rsidRPr="00B21AA4">
        <w:rPr>
          <w:rFonts w:ascii="Arial" w:hAnsi="Arial" w:cs="Arial"/>
          <w:sz w:val="20"/>
          <w:szCs w:val="20"/>
        </w:rPr>
        <w:t xml:space="preserve">Thomas C, Gioiello A, Noriega L, et al. TGR5-mediated bile acid sensing controls glucose homeostasis. Cell </w:t>
      </w:r>
      <w:proofErr w:type="spellStart"/>
      <w:r w:rsidRPr="00B21AA4">
        <w:rPr>
          <w:rFonts w:ascii="Arial" w:hAnsi="Arial" w:cs="Arial"/>
          <w:sz w:val="20"/>
          <w:szCs w:val="20"/>
        </w:rPr>
        <w:t>Metab</w:t>
      </w:r>
      <w:proofErr w:type="spellEnd"/>
      <w:r w:rsidRPr="00B21AA4">
        <w:rPr>
          <w:rFonts w:ascii="Arial" w:hAnsi="Arial" w:cs="Arial"/>
          <w:sz w:val="20"/>
          <w:szCs w:val="20"/>
        </w:rPr>
        <w:t>. 2009;10(3):167–177.</w:t>
      </w:r>
    </w:p>
    <w:p w14:paraId="5CA9A2A4" w14:textId="5388F3B3" w:rsidR="00B21AA4" w:rsidRPr="00B21AA4" w:rsidRDefault="00B21AA4" w:rsidP="00B21AA4">
      <w:pPr>
        <w:rPr>
          <w:rFonts w:ascii="Arial" w:hAnsi="Arial" w:cs="Arial"/>
          <w:sz w:val="20"/>
          <w:szCs w:val="20"/>
        </w:rPr>
      </w:pPr>
      <w:proofErr w:type="spellStart"/>
      <w:r w:rsidRPr="00B21AA4">
        <w:rPr>
          <w:rFonts w:ascii="Arial" w:hAnsi="Arial" w:cs="Arial"/>
          <w:sz w:val="20"/>
          <w:szCs w:val="20"/>
        </w:rPr>
        <w:t>Tomaschitz</w:t>
      </w:r>
      <w:proofErr w:type="spellEnd"/>
      <w:r w:rsidRPr="00B21AA4">
        <w:rPr>
          <w:rFonts w:ascii="Arial" w:hAnsi="Arial" w:cs="Arial"/>
          <w:sz w:val="20"/>
          <w:szCs w:val="20"/>
        </w:rPr>
        <w:t xml:space="preserve"> A, </w:t>
      </w:r>
      <w:proofErr w:type="spellStart"/>
      <w:r w:rsidRPr="00B21AA4">
        <w:rPr>
          <w:rFonts w:ascii="Arial" w:hAnsi="Arial" w:cs="Arial"/>
          <w:sz w:val="20"/>
          <w:szCs w:val="20"/>
        </w:rPr>
        <w:t>Meinitzer</w:t>
      </w:r>
      <w:proofErr w:type="spellEnd"/>
      <w:r w:rsidRPr="00B21AA4">
        <w:rPr>
          <w:rFonts w:ascii="Arial" w:hAnsi="Arial" w:cs="Arial"/>
          <w:sz w:val="20"/>
          <w:szCs w:val="20"/>
        </w:rPr>
        <w:t xml:space="preserve"> A, Pilz S, et al. Homoarginine — an independent marker of cardiovascular mortality: The Ludwigshafen Risk and Cardiovascular Health (LURIC) study. Atherosclerosis. 2014;234(1):1–8.</w:t>
      </w:r>
    </w:p>
    <w:p w14:paraId="61B08569" w14:textId="07C2A870" w:rsidR="00B21AA4" w:rsidRPr="00B21AA4" w:rsidRDefault="00B21AA4" w:rsidP="00B21AA4">
      <w:pPr>
        <w:rPr>
          <w:rFonts w:ascii="Arial" w:hAnsi="Arial" w:cs="Arial"/>
          <w:sz w:val="20"/>
          <w:szCs w:val="20"/>
        </w:rPr>
      </w:pPr>
      <w:r w:rsidRPr="00B21AA4">
        <w:rPr>
          <w:rFonts w:ascii="Arial" w:hAnsi="Arial" w:cs="Arial"/>
          <w:sz w:val="20"/>
          <w:szCs w:val="20"/>
        </w:rPr>
        <w:t>Trauner M, Claudel T, Fickert P, et al. Bile acids as regulators of hepatic lipid and glucose metabolism. Dig Dis. 2010;28(1):220–224.</w:t>
      </w:r>
    </w:p>
    <w:p w14:paraId="788F68C3" w14:textId="6B1B0CB0" w:rsidR="00B21AA4" w:rsidRPr="00B21AA4" w:rsidRDefault="00B21AA4" w:rsidP="00B21AA4">
      <w:pPr>
        <w:rPr>
          <w:rFonts w:ascii="Arial" w:hAnsi="Arial" w:cs="Arial"/>
          <w:sz w:val="20"/>
          <w:szCs w:val="20"/>
        </w:rPr>
      </w:pPr>
      <w:proofErr w:type="spellStart"/>
      <w:r w:rsidRPr="00B21AA4">
        <w:rPr>
          <w:rFonts w:ascii="Arial" w:hAnsi="Arial" w:cs="Arial"/>
          <w:sz w:val="20"/>
          <w:szCs w:val="20"/>
        </w:rPr>
        <w:t>Tremaroli</w:t>
      </w:r>
      <w:proofErr w:type="spellEnd"/>
      <w:r w:rsidRPr="00B21AA4">
        <w:rPr>
          <w:rFonts w:ascii="Arial" w:hAnsi="Arial" w:cs="Arial"/>
          <w:sz w:val="20"/>
          <w:szCs w:val="20"/>
        </w:rPr>
        <w:t xml:space="preserve"> V, Karlsson F, Werling M, et al. Roux-en-Y gastric bypass and vertical banded gastroplasty induce long-term changes on the human gut microbiome contributing to fat mass regulation. Cell </w:t>
      </w:r>
      <w:proofErr w:type="spellStart"/>
      <w:r w:rsidRPr="00B21AA4">
        <w:rPr>
          <w:rFonts w:ascii="Arial" w:hAnsi="Arial" w:cs="Arial"/>
          <w:sz w:val="20"/>
          <w:szCs w:val="20"/>
        </w:rPr>
        <w:t>Metab</w:t>
      </w:r>
      <w:proofErr w:type="spellEnd"/>
      <w:r w:rsidRPr="00B21AA4">
        <w:rPr>
          <w:rFonts w:ascii="Arial" w:hAnsi="Arial" w:cs="Arial"/>
          <w:sz w:val="20"/>
          <w:szCs w:val="20"/>
        </w:rPr>
        <w:t>. 2015;22(2):228–238.</w:t>
      </w:r>
    </w:p>
    <w:p w14:paraId="3861DDA7" w14:textId="30B2EB50" w:rsidR="00B21AA4" w:rsidRPr="00B21AA4" w:rsidRDefault="00B21AA4" w:rsidP="00B21AA4">
      <w:pPr>
        <w:rPr>
          <w:rFonts w:ascii="Arial" w:hAnsi="Arial" w:cs="Arial"/>
          <w:sz w:val="20"/>
          <w:szCs w:val="20"/>
        </w:rPr>
      </w:pPr>
      <w:r w:rsidRPr="00B21AA4">
        <w:rPr>
          <w:rFonts w:ascii="Arial" w:hAnsi="Arial" w:cs="Arial"/>
          <w:sz w:val="20"/>
          <w:szCs w:val="20"/>
        </w:rPr>
        <w:t xml:space="preserve">van de Laar AW, van Rijswijk AS, </w:t>
      </w:r>
      <w:proofErr w:type="spellStart"/>
      <w:r w:rsidRPr="00B21AA4">
        <w:rPr>
          <w:rFonts w:ascii="Arial" w:hAnsi="Arial" w:cs="Arial"/>
          <w:sz w:val="20"/>
          <w:szCs w:val="20"/>
        </w:rPr>
        <w:t>Kaijser</w:t>
      </w:r>
      <w:proofErr w:type="spellEnd"/>
      <w:r w:rsidRPr="00B21AA4">
        <w:rPr>
          <w:rFonts w:ascii="Arial" w:hAnsi="Arial" w:cs="Arial"/>
          <w:sz w:val="20"/>
          <w:szCs w:val="20"/>
        </w:rPr>
        <w:t xml:space="preserve"> MA, et al. Minimally invasive versus open redo surgery of failed laparoscopic bariatric procedures: Systematic review of laparoscopic conversion revisional surgery for weight regain. </w:t>
      </w:r>
      <w:proofErr w:type="spellStart"/>
      <w:r w:rsidRPr="00B21AA4">
        <w:rPr>
          <w:rFonts w:ascii="Arial" w:hAnsi="Arial" w:cs="Arial"/>
          <w:sz w:val="20"/>
          <w:szCs w:val="20"/>
        </w:rPr>
        <w:t>Obes</w:t>
      </w:r>
      <w:proofErr w:type="spellEnd"/>
      <w:r w:rsidRPr="00B21AA4">
        <w:rPr>
          <w:rFonts w:ascii="Arial" w:hAnsi="Arial" w:cs="Arial"/>
          <w:sz w:val="20"/>
          <w:szCs w:val="20"/>
        </w:rPr>
        <w:t xml:space="preserve"> Surg. 2021;31(1):1–11.</w:t>
      </w:r>
    </w:p>
    <w:sectPr w:rsidR="00B21AA4" w:rsidRPr="00B21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AA4"/>
    <w:rsid w:val="00521A5A"/>
    <w:rsid w:val="005F392B"/>
    <w:rsid w:val="007D449E"/>
    <w:rsid w:val="00B21AA4"/>
    <w:rsid w:val="00B3415B"/>
    <w:rsid w:val="00C50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CB2EA4"/>
  <w15:chartTrackingRefBased/>
  <w15:docId w15:val="{2CB76CB7-2084-6C43-8A20-274C0BE1A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AA4"/>
    <w:rPr>
      <w:rFonts w:eastAsiaTheme="majorEastAsia" w:cstheme="majorBidi"/>
      <w:color w:val="272727" w:themeColor="text1" w:themeTint="D8"/>
    </w:rPr>
  </w:style>
  <w:style w:type="paragraph" w:styleId="Title">
    <w:name w:val="Title"/>
    <w:basedOn w:val="Normal"/>
    <w:next w:val="Normal"/>
    <w:link w:val="TitleChar"/>
    <w:uiPriority w:val="10"/>
    <w:qFormat/>
    <w:rsid w:val="00B21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AA4"/>
    <w:pPr>
      <w:spacing w:before="160"/>
      <w:jc w:val="center"/>
    </w:pPr>
    <w:rPr>
      <w:i/>
      <w:iCs/>
      <w:color w:val="404040" w:themeColor="text1" w:themeTint="BF"/>
    </w:rPr>
  </w:style>
  <w:style w:type="character" w:customStyle="1" w:styleId="QuoteChar">
    <w:name w:val="Quote Char"/>
    <w:basedOn w:val="DefaultParagraphFont"/>
    <w:link w:val="Quote"/>
    <w:uiPriority w:val="29"/>
    <w:rsid w:val="00B21AA4"/>
    <w:rPr>
      <w:i/>
      <w:iCs/>
      <w:color w:val="404040" w:themeColor="text1" w:themeTint="BF"/>
    </w:rPr>
  </w:style>
  <w:style w:type="paragraph" w:styleId="ListParagraph">
    <w:name w:val="List Paragraph"/>
    <w:basedOn w:val="Normal"/>
    <w:uiPriority w:val="34"/>
    <w:qFormat/>
    <w:rsid w:val="00B21AA4"/>
    <w:pPr>
      <w:ind w:left="720"/>
      <w:contextualSpacing/>
    </w:pPr>
  </w:style>
  <w:style w:type="character" w:styleId="IntenseEmphasis">
    <w:name w:val="Intense Emphasis"/>
    <w:basedOn w:val="DefaultParagraphFont"/>
    <w:uiPriority w:val="21"/>
    <w:qFormat/>
    <w:rsid w:val="00B21AA4"/>
    <w:rPr>
      <w:i/>
      <w:iCs/>
      <w:color w:val="0F4761" w:themeColor="accent1" w:themeShade="BF"/>
    </w:rPr>
  </w:style>
  <w:style w:type="paragraph" w:styleId="IntenseQuote">
    <w:name w:val="Intense Quote"/>
    <w:basedOn w:val="Normal"/>
    <w:next w:val="Normal"/>
    <w:link w:val="IntenseQuoteChar"/>
    <w:uiPriority w:val="30"/>
    <w:qFormat/>
    <w:rsid w:val="00B21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AA4"/>
    <w:rPr>
      <w:i/>
      <w:iCs/>
      <w:color w:val="0F4761" w:themeColor="accent1" w:themeShade="BF"/>
    </w:rPr>
  </w:style>
  <w:style w:type="character" w:styleId="IntenseReference">
    <w:name w:val="Intense Reference"/>
    <w:basedOn w:val="DefaultParagraphFont"/>
    <w:uiPriority w:val="32"/>
    <w:qFormat/>
    <w:rsid w:val="00B21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10</Pages>
  <Words>4879</Words>
  <Characters>30061</Characters>
  <Application>Microsoft Office Word</Application>
  <DocSecurity>0</DocSecurity>
  <Lines>455</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Wanjun</dc:creator>
  <cp:keywords/>
  <dc:description/>
  <cp:lastModifiedBy>Gu, Wanjun</cp:lastModifiedBy>
  <cp:revision>4</cp:revision>
  <dcterms:created xsi:type="dcterms:W3CDTF">2026-04-10T19:06:00Z</dcterms:created>
  <dcterms:modified xsi:type="dcterms:W3CDTF">2026-04-10T21:53:00Z</dcterms:modified>
</cp:coreProperties>
</file>