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Additional Network Analysis Writeup</w:t>
      </w:r>
    </w:p>
    <w:p w:rsidR="00000000" w:rsidDel="00000000" w:rsidP="00000000" w:rsidRDefault="00000000" w:rsidRPr="00000000" w14:paraId="00000002">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3">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4">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Figure 2D. Metabolite-centric biological knowledge network of the MetRS. </w:t>
      </w:r>
      <w:r w:rsidDel="00000000" w:rsidR="00000000" w:rsidRPr="00000000">
        <w:rPr>
          <w:rFonts w:ascii="Arial" w:cs="Arial" w:eastAsia="Arial" w:hAnsi="Arial"/>
          <w:sz w:val="22"/>
          <w:szCs w:val="22"/>
          <w:rtl w:val="0"/>
        </w:rPr>
        <w:t xml:space="preserve">A heterogeneous undirected network graph representing the biological context of the 15 MetRS compounds (14 scored metabolites plus DMGV, retained for network completeness), constructed from first-degree neighbor relationships retrieved from a heterogeneous biological knowledge graph. The composite MetRS feature 3-methyladipate/pimelate is displayed as two separate nodes (3-methyladipic acid, pimelic acid) reflecting their distinct entries in SPOKE.The network comprises 169 nodes and 235 edges spanning six node types colored by type: MetRS compounds (red), genes (blue), proteins (green), canonical pathways (orange), biological processes (purple), and disease entities (gold). Node size distinguishes biologically salient highlighted nodes from background context nodes; highlighted nodes include all MetRS compound seeds, key genes and transcription factors (e.g., </w:t>
      </w:r>
      <w:r w:rsidDel="00000000" w:rsidR="00000000" w:rsidRPr="00000000">
        <w:rPr>
          <w:rFonts w:ascii="Arial" w:cs="Arial" w:eastAsia="Arial" w:hAnsi="Arial"/>
          <w:i w:val="1"/>
          <w:iCs w:val="1"/>
          <w:sz w:val="22"/>
          <w:szCs w:val="22"/>
          <w:rtl w:val="0"/>
        </w:rPr>
        <w:t xml:space="preserve">GCG</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iCs w:val="1"/>
          <w:sz w:val="22"/>
          <w:szCs w:val="22"/>
          <w:rtl w:val="0"/>
        </w:rPr>
        <w:t xml:space="preserve">NOS3</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iCs w:val="1"/>
          <w:sz w:val="22"/>
          <w:szCs w:val="22"/>
          <w:rtl w:val="0"/>
        </w:rPr>
        <w:t xml:space="preserve">PPARG</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iCs w:val="1"/>
          <w:sz w:val="22"/>
          <w:szCs w:val="22"/>
          <w:rtl w:val="0"/>
        </w:rPr>
        <w:t xml:space="preserve">TDO2</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iCs w:val="1"/>
          <w:sz w:val="22"/>
          <w:szCs w:val="22"/>
          <w:rtl w:val="0"/>
        </w:rPr>
        <w:t xml:space="preserve">PPARA</w:t>
      </w:r>
      <w:r w:rsidDel="00000000" w:rsidR="00000000" w:rsidRPr="00000000">
        <w:rPr>
          <w:rFonts w:ascii="Arial" w:cs="Arial" w:eastAsia="Arial" w:hAnsi="Arial"/>
          <w:sz w:val="22"/>
          <w:szCs w:val="22"/>
          <w:rtl w:val="0"/>
        </w:rPr>
        <w:t xml:space="preserve">), and selected disease, pathway, and biological process nodes of established relevance to obesity and bariatric surgery outcomes. Graph layout was computed using the Kamada-Kawai force-directed algorithm, which positions nodes to reflect path-length distances in the graph.</w:t>
      </w:r>
    </w:p>
    <w:p w:rsidR="00000000" w:rsidDel="00000000" w:rsidP="00000000" w:rsidRDefault="00000000" w:rsidRPr="00000000" w14:paraId="0000000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6">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Figure 2E.</w:t>
      </w:r>
      <w:r w:rsidDel="00000000" w:rsidR="00000000" w:rsidRPr="00000000">
        <w:rPr>
          <w:rFonts w:ascii="Arial" w:cs="Arial" w:eastAsia="Arial" w:hAnsi="Arial"/>
          <w:sz w:val="22"/>
          <w:szCs w:val="22"/>
          <w:rtl w:val="0"/>
        </w:rPr>
        <w:t xml:space="preserve"> Top bridge nodes per node type by normalized betweenness centrality. Bar charts show the five highest-betweenness nodes within each of six categories (Compound, Gene, Protein, Disease, Biological Process, Pathway), ranked by normalized betweenness centrality as a measure of cross-network bridging influence. Obesity was the dominant disease bridge node (betweenness 0.36), and malonic acid the top compound bridge (0.27).</w:t>
      </w:r>
    </w:p>
    <w:p w:rsidR="00000000" w:rsidDel="00000000" w:rsidP="00000000" w:rsidRDefault="00000000" w:rsidRPr="00000000" w14:paraId="00000007">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8">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9">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A">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Methods</w:t>
      </w:r>
    </w:p>
    <w:bookmarkStart w:colFirst="0" w:colLast="0" w:name="bookmark=id.cuz6ysnqepzp" w:id="0"/>
    <w:bookmarkEnd w:id="0"/>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910383489"/>
          <w:tag w:val="goog_rdk_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We used the Scalable Precision Medicine Open Knowledge Engine (SPOKE), a heterogeneous biomedical knowledge graph comprising approximately 40 million nodes and 198 million edges, which integrates compounds, genes, human proteins, Gene Ontology biological processes and molecular functions, WikiPathways and Reactome pathways, and indexed disease terms from disease ontology, with curated relationships drawn from more than forty primary resources (Morris et al., 2023). The analytical seed consisted of the fifteen MetRS seed compounds (fourteen scored metabolites plus DMGV) successfully mapped to the knowledge graph. Two traversals were performed and their results combined. First, for each seed metabolite, curated first-degree neighbors were retrieved across the node types of Gene, Protein, Biological process, Pathway, and Disease. Second, for every ordered pair of seed metabolites, the shortest path of length ≤ 5 was extracted under two constraints: (i) intermediate nodes were restricted to Compound, Gene, human Protein, Biological process, Molecular function, Pathway, Disease, and Protein domain; (ii) any Protein node was required to be a human protein. Shortest-path extraction across all 105 ordered pairs generated a Steiner-tree approximation of the shared biological context. Every node in the resulting subgraph was characterized by degree, normalized betweenness centrality (the standard bridge-node metric in network medicine, Barabási et al., 2011), and PageRank.</w:t>
          </w:r>
        </w:sdtContent>
      </w:sdt>
    </w:p>
    <w:p w:rsidR="00000000" w:rsidDel="00000000" w:rsidP="00000000" w:rsidRDefault="00000000" w:rsidRPr="00000000" w14:paraId="0000000C">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D">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Results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better contextualize the metabolites contributing to the MetRS, we used them as seed nodes in the SPOKE biomedical knowledge graph (Morris et al., 2023) and performed a network analysis of their molecular neighborhood. The curated subgraph contained 169 nodes and 235 edges, distributed as 21 compounds, 52 genes, 32 human proteins, 38 pathways, 14 biological processes, and 12 diseases. Betweenness centrality identified obesity (0.36) and type 2 diabetes mellitus (0.08) as the two highest-ranked disease bridge nodes; additional disease nodes present in the subgraph included steatotic liver disease, MASLD, MASH, cardiovascular disease, and atherosclerosis, though with substantially lower betweenness.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Several biological modules structured the network. The first connected D-glucuronic acid (compound betweenness 0.12), the sugar donor of UDP-glucuronosyltransferase-mediated bile-acid conjugation, to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GCG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(0.17), the proglucagon gene encoding GLP-1 and the highest-betweenness gene in the subgraph; through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GCG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module reached the incretin pathway nodes for GLP-1 glucose homeostasis and hunger and satiety, together with the bile-acid-sensing nuclear receptor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NR1H4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(FXR), the rate-limiting bile-acid-synthesis enzyme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CYP7A1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enterohepatic feedback hormone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FGF19</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the incretin receptor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GLP1R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topology mirrors the bile-acid/FXR/TGR5 circuit, considered a non-caloric driver of Roux-en-Y gastric bypass efficacy (Penney et al., 2015).</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second module was anchored on L-kynurenine (0.17), the first stable product of tryptophan catabolism, and recovered the hepatic rate-limiting enzyme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TDO2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(0.12) together with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KYNU</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KYAT3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GOT2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the pathway nodes tryptophan metabolism and kynurenine pathway. This composition is consistent with adipose-inflammation-driven activation of the kynurenine pathway reported in human obesity cohorts, where circulating kynurenine correlates positively with BMI and insulin resistance (Favennec et al., 2015; Cervenka et al., 2017).</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third module linked malonic acid (0.27), the free-acid counterpart of malonyl-CoA and an inhibitor of the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CPT1A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fatty-acid-oxidation gateway, and β-aminoisobutyric acid (BAIBA), a PGC-1α/PPARα-dependent exercise-induced myokine (Roberts et al., 2014), to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PPARA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PPARG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(betweenness 0.10 and 0.13, respectively),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CPT1A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biological process nodes related to fatty acid oxidation. A fourth module centered on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NOS3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endothelial nitric oxide synthase (betweenness 0.13), connected to L-homoarginine (0.09), an endogenous NOS substrate whose circulating levels are inversely associated with cardiovascular and renal mortality (Pilz et al., 2015).</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Collectively, the network topology organized around four cardiometabolic axes: incretin signaling, tryptophan catabolism, fatty acid oxidation, and endothelial nitric oxide synthesis, each connecting MetRS metabolites to disease nodes central to obesity and bariatric surgery outcomes.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ffffff" w:val="clear"/>
        <w:spacing w:after="225" w:before="225"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ffffff" w:val="clear"/>
        <w:spacing w:after="225" w:before="225"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6">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Discussion</w:t>
      </w:r>
    </w:p>
    <w:p w:rsidR="00000000" w:rsidDel="00000000" w:rsidP="00000000" w:rsidRDefault="00000000" w:rsidRPr="00000000" w14:paraId="00000017">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8">
      <w:pPr>
        <w:rPr>
          <w:rFonts w:ascii="Arial" w:cs="Arial" w:eastAsia="Arial" w:hAnsi="Arial"/>
          <w:sz w:val="22"/>
          <w:szCs w:val="22"/>
        </w:rPr>
      </w:pPr>
      <w:r w:rsidDel="00000000" w:rsidR="00000000" w:rsidRPr="00000000">
        <w:rPr>
          <w:rFonts w:ascii="Arial" w:cs="Arial" w:eastAsia="Arial" w:hAnsi="Arial"/>
          <w:sz w:val="22"/>
          <w:szCs w:val="22"/>
          <w:rtl w:val="0"/>
        </w:rPr>
        <w:t xml:space="preserve">The metabolic risk score (MetRS) derived to predict long-term weight regain after gastric bypass surgery mapped, through an unbiased graph traversal, onto obesity, type 2 diabetes mellitus, and steatotic liver disease as its principal disease bridges, with MASLD and MASH also represented among the network disease nodes. This pattern argues against a surgery-specific epiphenomenon and supports the interpretation that the MetRS indexes a pre-existing cardiometabolic state that the operation only partially corrects.</w:t>
      </w:r>
    </w:p>
    <w:p w:rsidR="00000000" w:rsidDel="00000000" w:rsidP="00000000" w:rsidRDefault="00000000" w:rsidRPr="00000000" w14:paraId="00000019">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A">
      <w:pPr>
        <w:rPr>
          <w:rFonts w:ascii="Arial" w:cs="Arial" w:eastAsia="Arial" w:hAnsi="Arial"/>
          <w:sz w:val="22"/>
          <w:szCs w:val="22"/>
        </w:rPr>
      </w:pPr>
      <w:r w:rsidDel="00000000" w:rsidR="00000000" w:rsidRPr="00000000">
        <w:rPr>
          <w:rFonts w:ascii="Arial" w:cs="Arial" w:eastAsia="Arial" w:hAnsi="Arial"/>
          <w:sz w:val="22"/>
          <w:szCs w:val="22"/>
          <w:rtl w:val="0"/>
        </w:rPr>
        <w:t xml:space="preserve">Among the enriched modules, the bile acid/GLP-1 axis has the most direct translational implications. After Roux-en-Y reconstruction, bile acids reaching the distal ileum activate FXR and TGR5 on enteroendocrine L-cells and amplify the postprandial GLP-1 response that accounts for much of the non-caloric metabolic benefit of the operation (Laferrère et al., 2008; Penney et al., 2015). GLP-1 receptor agonists have since demonstrated broad efficacy across metabolic, cardiovascular, and renal outcomes (Rosen and Ingelfinger, 2026). In this context, patients scoring high on the MetRS may be reasonable candidates for adjunctive GLP-1 receptor agonist therapy in the setting of post-bariatric weight regain, consistent with the emerging personalized-medicine framework for GLP-1-based medicines (Drucker, 2024).</w:t>
      </w:r>
    </w:p>
    <w:p w:rsidR="00000000" w:rsidDel="00000000" w:rsidP="00000000" w:rsidRDefault="00000000" w:rsidRPr="00000000" w14:paraId="0000001B">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C">
      <w:pPr>
        <w:rPr>
          <w:rFonts w:ascii="Arial" w:cs="Arial" w:eastAsia="Arial" w:hAnsi="Arial"/>
          <w:sz w:val="22"/>
          <w:szCs w:val="22"/>
        </w:rPr>
      </w:pPr>
      <w:r w:rsidDel="00000000" w:rsidR="00000000" w:rsidRPr="00000000">
        <w:rPr>
          <w:rFonts w:ascii="Arial" w:cs="Arial" w:eastAsia="Arial" w:hAnsi="Arial"/>
          <w:sz w:val="22"/>
          <w:szCs w:val="22"/>
          <w:rtl w:val="0"/>
        </w:rPr>
        <w:t xml:space="preserve">The kynurenine/tryptophan inflammation axis is likewise well supported by prior evidence. </w:t>
      </w:r>
      <w:r w:rsidDel="00000000" w:rsidR="00000000" w:rsidRPr="00000000">
        <w:rPr>
          <w:rFonts w:ascii="Arial" w:cs="Arial" w:eastAsia="Arial" w:hAnsi="Arial"/>
          <w:i w:val="1"/>
          <w:iCs w:val="1"/>
          <w:sz w:val="22"/>
          <w:szCs w:val="22"/>
          <w:rtl w:val="0"/>
        </w:rPr>
        <w:t xml:space="preserve">IDO1</w:t>
      </w:r>
      <w:r w:rsidDel="00000000" w:rsidR="00000000" w:rsidRPr="00000000">
        <w:rPr>
          <w:rFonts w:ascii="Arial" w:cs="Arial" w:eastAsia="Arial" w:hAnsi="Arial"/>
          <w:sz w:val="22"/>
          <w:szCs w:val="22"/>
          <w:rtl w:val="0"/>
        </w:rPr>
        <w:t xml:space="preserve">- and </w:t>
      </w:r>
      <w:r w:rsidDel="00000000" w:rsidR="00000000" w:rsidRPr="00000000">
        <w:rPr>
          <w:rFonts w:ascii="Arial" w:cs="Arial" w:eastAsia="Arial" w:hAnsi="Arial"/>
          <w:i w:val="1"/>
          <w:iCs w:val="1"/>
          <w:sz w:val="22"/>
          <w:szCs w:val="22"/>
          <w:rtl w:val="0"/>
        </w:rPr>
        <w:t xml:space="preserve">TDO2</w:t>
      </w:r>
      <w:r w:rsidDel="00000000" w:rsidR="00000000" w:rsidRPr="00000000">
        <w:rPr>
          <w:rFonts w:ascii="Arial" w:cs="Arial" w:eastAsia="Arial" w:hAnsi="Arial"/>
          <w:sz w:val="22"/>
          <w:szCs w:val="22"/>
          <w:rtl w:val="0"/>
        </w:rPr>
        <w:t xml:space="preserve">-driven tryptophan catabolism is induced by adipose-tissue macrophage inflammation, and its circulating output tracks body-mass index and insulin resistance across human cohorts (Favennec et al., 2015; Cervenka et al., 2017). The fatty acid oxidation/adipokine axis, anchored on malonic acid, BAIBA, and the PPARα/PPARγ pair, reflects the established role of BAIBA as an exercise-induced, PGC-1α-dependent myokine that amplifies PPARα signaling to drive white-adipose browning and hepatic β-oxidation (Roberts et al., 2014). A vascular nitric oxide sub-network also emerged, centered on </w:t>
      </w:r>
      <w:r w:rsidDel="00000000" w:rsidR="00000000" w:rsidRPr="00000000">
        <w:rPr>
          <w:rFonts w:ascii="Arial" w:cs="Arial" w:eastAsia="Arial" w:hAnsi="Arial"/>
          <w:i w:val="1"/>
          <w:iCs w:val="1"/>
          <w:sz w:val="22"/>
          <w:szCs w:val="22"/>
          <w:rtl w:val="0"/>
        </w:rPr>
        <w:t xml:space="preserve">NOS3</w:t>
      </w:r>
      <w:r w:rsidDel="00000000" w:rsidR="00000000" w:rsidRPr="00000000">
        <w:rPr>
          <w:rFonts w:ascii="Arial" w:cs="Arial" w:eastAsia="Arial" w:hAnsi="Arial"/>
          <w:sz w:val="22"/>
          <w:szCs w:val="22"/>
          <w:rtl w:val="0"/>
        </w:rPr>
        <w:t xml:space="preserve"> and nitric oxide biosynthesis. Low circulating homoarginine, an endogenous NOS substrate, is an independent risk marker for cardiovascular and renal mortality across multiple cohorts (Pilz et al., 2015), and its presence in this module points to endothelial dysfunction as a component of the weight-regain phenotype.</w:t>
      </w:r>
    </w:p>
    <w:p w:rsidR="00000000" w:rsidDel="00000000" w:rsidP="00000000" w:rsidRDefault="00000000" w:rsidRPr="00000000" w14:paraId="0000001D">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E">
      <w:pPr>
        <w:rPr>
          <w:rFonts w:ascii="Arial" w:cs="Arial" w:eastAsia="Arial" w:hAnsi="Arial"/>
          <w:sz w:val="22"/>
          <w:szCs w:val="22"/>
        </w:rPr>
      </w:pPr>
      <w:r w:rsidDel="00000000" w:rsidR="00000000" w:rsidRPr="00000000">
        <w:rPr>
          <w:rFonts w:ascii="Arial" w:cs="Arial" w:eastAsia="Arial" w:hAnsi="Arial"/>
          <w:sz w:val="22"/>
          <w:szCs w:val="22"/>
          <w:rtl w:val="0"/>
        </w:rPr>
        <w:t xml:space="preserve">The four modules collectively describe a biology in which incretin signaling, tryptophan catabolism, fatty acid oxidation, and endothelial function each connect to the cardiometabolic state indexed by the MetRS, providing a mechanistic framework for weight-regain biology and a basis for pharmacological stratification.</w:t>
      </w:r>
    </w:p>
    <w:p w:rsidR="00000000" w:rsidDel="00000000" w:rsidP="00000000" w:rsidRDefault="00000000" w:rsidRPr="00000000" w14:paraId="0000001F">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20">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21">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22">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23">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24">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References</w:t>
      </w:r>
    </w:p>
    <w:p w:rsidR="00000000" w:rsidDel="00000000" w:rsidP="00000000" w:rsidRDefault="00000000" w:rsidRPr="00000000" w14:paraId="00000025">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26">
      <w:pPr>
        <w:shd w:fill="ffffff" w:val="clea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Barabási AL, Gulbahce N, Loscalzo J. Network medicine: a network-based approach to human disease. </w:t>
      </w:r>
      <w:r w:rsidDel="00000000" w:rsidR="00000000" w:rsidRPr="00000000">
        <w:rPr>
          <w:rFonts w:ascii="Arial" w:cs="Arial" w:eastAsia="Arial" w:hAnsi="Arial"/>
          <w:i w:val="1"/>
          <w:iCs w:val="1"/>
          <w:color w:val="000000"/>
          <w:sz w:val="22"/>
          <w:szCs w:val="22"/>
          <w:rtl w:val="0"/>
        </w:rPr>
        <w:t xml:space="preserve">Nat Rev Genet</w:t>
      </w:r>
      <w:r w:rsidDel="00000000" w:rsidR="00000000" w:rsidRPr="00000000">
        <w:rPr>
          <w:rFonts w:ascii="Arial" w:cs="Arial" w:eastAsia="Arial" w:hAnsi="Arial"/>
          <w:color w:val="000000"/>
          <w:sz w:val="22"/>
          <w:szCs w:val="22"/>
          <w:rtl w:val="0"/>
        </w:rPr>
        <w:t xml:space="preserve">. 2011;12(1):56–68. PMID: 21164525. </w:t>
      </w:r>
      <w:hyperlink r:id="rId7">
        <w:r w:rsidDel="00000000" w:rsidR="00000000" w:rsidRPr="00000000">
          <w:rPr>
            <w:color w:val="467886"/>
            <w:u w:val="single"/>
            <w:rtl w:val="0"/>
          </w:rPr>
          <w:t xml:space="preserve">https://doi.org/10.1038/nrg2918</w:t>
        </w:r>
      </w:hyperlink>
      <w:r w:rsidDel="00000000" w:rsidR="00000000" w:rsidRPr="00000000">
        <w:rPr>
          <w:rtl w:val="0"/>
        </w:rPr>
      </w:r>
    </w:p>
    <w:p w:rsidR="00000000" w:rsidDel="00000000" w:rsidP="00000000" w:rsidRDefault="00000000" w:rsidRPr="00000000" w14:paraId="00000027">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8">
      <w:pPr>
        <w:rPr>
          <w:rFonts w:ascii="Arial" w:cs="Arial" w:eastAsia="Arial" w:hAnsi="Arial"/>
          <w:sz w:val="22"/>
          <w:szCs w:val="22"/>
        </w:rPr>
      </w:pPr>
      <w:r w:rsidDel="00000000" w:rsidR="00000000" w:rsidRPr="00000000">
        <w:rPr>
          <w:rFonts w:ascii="Arial" w:cs="Arial" w:eastAsia="Arial" w:hAnsi="Arial"/>
          <w:sz w:val="22"/>
          <w:szCs w:val="22"/>
          <w:rtl w:val="0"/>
        </w:rPr>
        <w:t xml:space="preserve">Cervenka I, Agudelo LZ, Ruas JL. Kynurenines: Tryptophan's metabolites in exercise, inflammation, and mental health. </w:t>
      </w:r>
      <w:r w:rsidDel="00000000" w:rsidR="00000000" w:rsidRPr="00000000">
        <w:rPr>
          <w:rFonts w:ascii="Arial" w:cs="Arial" w:eastAsia="Arial" w:hAnsi="Arial"/>
          <w:i w:val="1"/>
          <w:iCs w:val="1"/>
          <w:sz w:val="22"/>
          <w:szCs w:val="22"/>
          <w:rtl w:val="0"/>
        </w:rPr>
        <w:t xml:space="preserve">Science</w:t>
      </w:r>
      <w:r w:rsidDel="00000000" w:rsidR="00000000" w:rsidRPr="00000000">
        <w:rPr>
          <w:rFonts w:ascii="Arial" w:cs="Arial" w:eastAsia="Arial" w:hAnsi="Arial"/>
          <w:sz w:val="22"/>
          <w:szCs w:val="22"/>
          <w:rtl w:val="0"/>
        </w:rPr>
        <w:t xml:space="preserve">. 2017;357(6349):eaaf9794. PMID: 28751584.</w:t>
      </w:r>
      <w:r w:rsidDel="00000000" w:rsidR="00000000" w:rsidRPr="00000000">
        <w:rPr>
          <w:rtl w:val="0"/>
        </w:rPr>
        <w:t xml:space="preserve"> </w:t>
      </w:r>
      <w:hyperlink r:id="rId8">
        <w:r w:rsidDel="00000000" w:rsidR="00000000" w:rsidRPr="00000000">
          <w:rPr>
            <w:color w:val="467886"/>
            <w:u w:val="single"/>
            <w:rtl w:val="0"/>
          </w:rPr>
          <w:t xml:space="preserve">https://doi.org/10.1126/science.aaf9794</w:t>
        </w:r>
      </w:hyperlink>
      <w:r w:rsidDel="00000000" w:rsidR="00000000" w:rsidRPr="00000000">
        <w:rPr>
          <w:rtl w:val="0"/>
        </w:rPr>
      </w:r>
    </w:p>
    <w:p w:rsidR="00000000" w:rsidDel="00000000" w:rsidP="00000000" w:rsidRDefault="00000000" w:rsidRPr="00000000" w14:paraId="00000029">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A">
      <w:pPr>
        <w:rPr>
          <w:rFonts w:ascii="Arial" w:cs="Arial" w:eastAsia="Arial" w:hAnsi="Arial"/>
          <w:sz w:val="22"/>
          <w:szCs w:val="22"/>
        </w:rPr>
      </w:pPr>
      <w:r w:rsidDel="00000000" w:rsidR="00000000" w:rsidRPr="00000000">
        <w:rPr>
          <w:rFonts w:ascii="Arial" w:cs="Arial" w:eastAsia="Arial" w:hAnsi="Arial"/>
          <w:sz w:val="22"/>
          <w:szCs w:val="22"/>
          <w:rtl w:val="0"/>
        </w:rPr>
        <w:t xml:space="preserve">Drucker DJ. Efficacy and safety of GLP-1 medicines for type 2 diabetes and obesity. </w:t>
      </w:r>
      <w:r w:rsidDel="00000000" w:rsidR="00000000" w:rsidRPr="00000000">
        <w:rPr>
          <w:rFonts w:ascii="Arial" w:cs="Arial" w:eastAsia="Arial" w:hAnsi="Arial"/>
          <w:i w:val="1"/>
          <w:iCs w:val="1"/>
          <w:sz w:val="22"/>
          <w:szCs w:val="22"/>
          <w:rtl w:val="0"/>
        </w:rPr>
        <w:t xml:space="preserve">Diabetes Care</w:t>
      </w:r>
      <w:r w:rsidDel="00000000" w:rsidR="00000000" w:rsidRPr="00000000">
        <w:rPr>
          <w:rFonts w:ascii="Arial" w:cs="Arial" w:eastAsia="Arial" w:hAnsi="Arial"/>
          <w:sz w:val="22"/>
          <w:szCs w:val="22"/>
          <w:rtl w:val="0"/>
        </w:rPr>
        <w:t xml:space="preserve">. 2024;47(11):1873–1888. PMID: 38843460. </w:t>
      </w:r>
      <w:r w:rsidDel="00000000" w:rsidR="00000000" w:rsidRPr="00000000">
        <w:rPr>
          <w:rtl w:val="0"/>
        </w:rPr>
        <w:t xml:space="preserve"> </w:t>
      </w:r>
      <w:hyperlink r:id="rId9">
        <w:r w:rsidDel="00000000" w:rsidR="00000000" w:rsidRPr="00000000">
          <w:rPr>
            <w:color w:val="467886"/>
            <w:u w:val="single"/>
            <w:rtl w:val="0"/>
          </w:rPr>
          <w:t xml:space="preserve">https://doi.org/10.2337/dci24-0003</w:t>
        </w:r>
      </w:hyperlink>
      <w:r w:rsidDel="00000000" w:rsidR="00000000" w:rsidRPr="00000000">
        <w:rPr>
          <w:rtl w:val="0"/>
        </w:rPr>
      </w:r>
    </w:p>
    <w:p w:rsidR="00000000" w:rsidDel="00000000" w:rsidP="00000000" w:rsidRDefault="00000000" w:rsidRPr="00000000" w14:paraId="0000002B">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C">
      <w:pPr>
        <w:rPr>
          <w:rFonts w:ascii="Arial" w:cs="Arial" w:eastAsia="Arial" w:hAnsi="Arial"/>
          <w:sz w:val="22"/>
          <w:szCs w:val="22"/>
        </w:rPr>
      </w:pPr>
      <w:r w:rsidDel="00000000" w:rsidR="00000000" w:rsidRPr="00000000">
        <w:rPr>
          <w:rFonts w:ascii="Arial" w:cs="Arial" w:eastAsia="Arial" w:hAnsi="Arial"/>
          <w:sz w:val="22"/>
          <w:szCs w:val="22"/>
          <w:rtl w:val="0"/>
        </w:rPr>
        <w:t xml:space="preserve">Favennec M, Hennart B, Caiazzo R, et al. The kynurenine pathway is activated in human obesity and shifted toward kynurenine monooxygenase activation. </w:t>
      </w:r>
      <w:r w:rsidDel="00000000" w:rsidR="00000000" w:rsidRPr="00000000">
        <w:rPr>
          <w:rFonts w:ascii="Arial" w:cs="Arial" w:eastAsia="Arial" w:hAnsi="Arial"/>
          <w:i w:val="1"/>
          <w:iCs w:val="1"/>
          <w:sz w:val="22"/>
          <w:szCs w:val="22"/>
          <w:rtl w:val="0"/>
        </w:rPr>
        <w:t xml:space="preserve">Obesity (Silver Spring)</w:t>
      </w:r>
      <w:r w:rsidDel="00000000" w:rsidR="00000000" w:rsidRPr="00000000">
        <w:rPr>
          <w:rFonts w:ascii="Arial" w:cs="Arial" w:eastAsia="Arial" w:hAnsi="Arial"/>
          <w:sz w:val="22"/>
          <w:szCs w:val="22"/>
          <w:rtl w:val="0"/>
        </w:rPr>
        <w:t xml:space="preserve">. 2015;23(10):2066–2074. PMID: 26347385.</w:t>
      </w:r>
      <w:r w:rsidDel="00000000" w:rsidR="00000000" w:rsidRPr="00000000">
        <w:rPr>
          <w:rtl w:val="0"/>
        </w:rPr>
        <w:t xml:space="preserve"> </w:t>
      </w:r>
      <w:hyperlink r:id="rId10">
        <w:r w:rsidDel="00000000" w:rsidR="00000000" w:rsidRPr="00000000">
          <w:rPr>
            <w:color w:val="467886"/>
            <w:u w:val="single"/>
            <w:rtl w:val="0"/>
          </w:rPr>
          <w:t xml:space="preserve">https://doi.org/10.1002/oby.21199</w:t>
        </w:r>
      </w:hyperlink>
      <w:r w:rsidDel="00000000" w:rsidR="00000000" w:rsidRPr="00000000">
        <w:rPr>
          <w:rtl w:val="0"/>
        </w:rPr>
      </w:r>
    </w:p>
    <w:p w:rsidR="00000000" w:rsidDel="00000000" w:rsidP="00000000" w:rsidRDefault="00000000" w:rsidRPr="00000000" w14:paraId="0000002D">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E">
      <w:pPr>
        <w:rPr>
          <w:rFonts w:ascii="Arial" w:cs="Arial" w:eastAsia="Arial" w:hAnsi="Arial"/>
          <w:sz w:val="22"/>
          <w:szCs w:val="22"/>
        </w:rPr>
      </w:pPr>
      <w:r w:rsidDel="00000000" w:rsidR="00000000" w:rsidRPr="00000000">
        <w:rPr>
          <w:rFonts w:ascii="Arial" w:cs="Arial" w:eastAsia="Arial" w:hAnsi="Arial"/>
          <w:sz w:val="22"/>
          <w:szCs w:val="22"/>
          <w:rtl w:val="0"/>
        </w:rPr>
        <w:t xml:space="preserve">Laferrère B, Teixeira J, McGinty J, et al. Effect of weight loss by gastric bypass surgery versus hypocaloric diet on glucose and incretin levels in patients with type 2 diabetes. </w:t>
      </w:r>
      <w:r w:rsidDel="00000000" w:rsidR="00000000" w:rsidRPr="00000000">
        <w:rPr>
          <w:rFonts w:ascii="Arial" w:cs="Arial" w:eastAsia="Arial" w:hAnsi="Arial"/>
          <w:i w:val="1"/>
          <w:iCs w:val="1"/>
          <w:sz w:val="22"/>
          <w:szCs w:val="22"/>
          <w:rtl w:val="0"/>
        </w:rPr>
        <w:t xml:space="preserve">J Clin Endocrinol Metab</w:t>
      </w:r>
      <w:r w:rsidDel="00000000" w:rsidR="00000000" w:rsidRPr="00000000">
        <w:rPr>
          <w:rFonts w:ascii="Arial" w:cs="Arial" w:eastAsia="Arial" w:hAnsi="Arial"/>
          <w:sz w:val="22"/>
          <w:szCs w:val="22"/>
          <w:rtl w:val="0"/>
        </w:rPr>
        <w:t xml:space="preserve">. 2008;93(7):2479–2485. PMID: 18430778. </w:t>
      </w:r>
      <w:r w:rsidDel="00000000" w:rsidR="00000000" w:rsidRPr="00000000">
        <w:rPr>
          <w:rtl w:val="0"/>
        </w:rPr>
        <w:t xml:space="preserve"> </w:t>
      </w:r>
      <w:hyperlink r:id="rId11">
        <w:r w:rsidDel="00000000" w:rsidR="00000000" w:rsidRPr="00000000">
          <w:rPr>
            <w:color w:val="467886"/>
            <w:u w:val="single"/>
            <w:rtl w:val="0"/>
          </w:rPr>
          <w:t xml:space="preserve">https://doi.org/10.1210/jc.2007-2851</w:t>
        </w:r>
      </w:hyperlink>
      <w:r w:rsidDel="00000000" w:rsidR="00000000" w:rsidRPr="00000000">
        <w:rPr>
          <w:rtl w:val="0"/>
        </w:rPr>
      </w:r>
    </w:p>
    <w:p w:rsidR="00000000" w:rsidDel="00000000" w:rsidP="00000000" w:rsidRDefault="00000000" w:rsidRPr="00000000" w14:paraId="0000002F">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0">
      <w:pPr>
        <w:shd w:fill="ffffff" w:val="clea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Morris JH, Soman K, Akbas RE, et al. The Scalable Precision Medicine Open Knowledge Engine (SPOKE): a massive knowledge graph of biomedical information. </w:t>
      </w:r>
      <w:r w:rsidDel="00000000" w:rsidR="00000000" w:rsidRPr="00000000">
        <w:rPr>
          <w:rFonts w:ascii="Arial" w:cs="Arial" w:eastAsia="Arial" w:hAnsi="Arial"/>
          <w:i w:val="1"/>
          <w:iCs w:val="1"/>
          <w:color w:val="000000"/>
          <w:sz w:val="22"/>
          <w:szCs w:val="22"/>
          <w:rtl w:val="0"/>
        </w:rPr>
        <w:t xml:space="preserve">Bioinformatics</w:t>
      </w:r>
      <w:r w:rsidDel="00000000" w:rsidR="00000000" w:rsidRPr="00000000">
        <w:rPr>
          <w:rFonts w:ascii="Arial" w:cs="Arial" w:eastAsia="Arial" w:hAnsi="Arial"/>
          <w:color w:val="000000"/>
          <w:sz w:val="22"/>
          <w:szCs w:val="22"/>
          <w:rtl w:val="0"/>
        </w:rPr>
        <w:t xml:space="preserve">. 2023;39(2):btad080. PMID: 36759942. </w:t>
      </w:r>
      <w:r w:rsidDel="00000000" w:rsidR="00000000" w:rsidRPr="00000000">
        <w:rPr>
          <w:rtl w:val="0"/>
        </w:rPr>
        <w:t xml:space="preserve"> </w:t>
      </w:r>
      <w:hyperlink r:id="rId12">
        <w:r w:rsidDel="00000000" w:rsidR="00000000" w:rsidRPr="00000000">
          <w:rPr>
            <w:color w:val="467886"/>
            <w:u w:val="single"/>
            <w:rtl w:val="0"/>
          </w:rPr>
          <w:t xml:space="preserve">https://doi.org/10.1093/bioinformatics/btad080</w:t>
        </w:r>
      </w:hyperlink>
      <w:r w:rsidDel="00000000" w:rsidR="00000000" w:rsidRPr="00000000">
        <w:rPr>
          <w:rtl w:val="0"/>
        </w:rPr>
      </w:r>
    </w:p>
    <w:p w:rsidR="00000000" w:rsidDel="00000000" w:rsidP="00000000" w:rsidRDefault="00000000" w:rsidRPr="00000000" w14:paraId="00000031">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2">
      <w:pPr>
        <w:rPr>
          <w:rFonts w:ascii="Arial" w:cs="Arial" w:eastAsia="Arial" w:hAnsi="Arial"/>
          <w:sz w:val="22"/>
          <w:szCs w:val="22"/>
        </w:rPr>
      </w:pPr>
      <w:r w:rsidDel="00000000" w:rsidR="00000000" w:rsidRPr="00000000">
        <w:rPr>
          <w:rFonts w:ascii="Arial" w:cs="Arial" w:eastAsia="Arial" w:hAnsi="Arial"/>
          <w:sz w:val="22"/>
          <w:szCs w:val="22"/>
          <w:rtl w:val="0"/>
        </w:rPr>
        <w:t xml:space="preserve">Penney NC, Kinross J, Newton RC, Purkayastha S. The role of bile acids in reducing the metabolic complications of obesity after bariatric surgery: a systematic review. </w:t>
      </w:r>
      <w:r w:rsidDel="00000000" w:rsidR="00000000" w:rsidRPr="00000000">
        <w:rPr>
          <w:rFonts w:ascii="Arial" w:cs="Arial" w:eastAsia="Arial" w:hAnsi="Arial"/>
          <w:i w:val="1"/>
          <w:iCs w:val="1"/>
          <w:sz w:val="22"/>
          <w:szCs w:val="22"/>
          <w:rtl w:val="0"/>
        </w:rPr>
        <w:t xml:space="preserve">Int J Obes (Lond)</w:t>
      </w:r>
      <w:r w:rsidDel="00000000" w:rsidR="00000000" w:rsidRPr="00000000">
        <w:rPr>
          <w:rFonts w:ascii="Arial" w:cs="Arial" w:eastAsia="Arial" w:hAnsi="Arial"/>
          <w:sz w:val="22"/>
          <w:szCs w:val="22"/>
          <w:rtl w:val="0"/>
        </w:rPr>
        <w:t xml:space="preserve">. 2015;39(11):1565–1574. PMID: 26081915. </w:t>
      </w:r>
      <w:r w:rsidDel="00000000" w:rsidR="00000000" w:rsidRPr="00000000">
        <w:rPr>
          <w:rtl w:val="0"/>
        </w:rPr>
        <w:t xml:space="preserve"> </w:t>
      </w:r>
      <w:hyperlink r:id="rId13">
        <w:r w:rsidDel="00000000" w:rsidR="00000000" w:rsidRPr="00000000">
          <w:rPr>
            <w:color w:val="467886"/>
            <w:u w:val="single"/>
            <w:rtl w:val="0"/>
          </w:rPr>
          <w:t xml:space="preserve">https://doi.org/10.1038/ijo.2015.115</w:t>
        </w:r>
      </w:hyperlink>
      <w:r w:rsidDel="00000000" w:rsidR="00000000" w:rsidRPr="00000000">
        <w:rPr>
          <w:rtl w:val="0"/>
        </w:rPr>
      </w:r>
    </w:p>
    <w:p w:rsidR="00000000" w:rsidDel="00000000" w:rsidP="00000000" w:rsidRDefault="00000000" w:rsidRPr="00000000" w14:paraId="00000033">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4">
      <w:pPr>
        <w:rPr>
          <w:rFonts w:ascii="Arial" w:cs="Arial" w:eastAsia="Arial" w:hAnsi="Arial"/>
          <w:sz w:val="22"/>
          <w:szCs w:val="22"/>
        </w:rPr>
      </w:pPr>
      <w:r w:rsidDel="00000000" w:rsidR="00000000" w:rsidRPr="00000000">
        <w:rPr>
          <w:rFonts w:ascii="Arial" w:cs="Arial" w:eastAsia="Arial" w:hAnsi="Arial"/>
          <w:sz w:val="22"/>
          <w:szCs w:val="22"/>
          <w:rtl w:val="0"/>
        </w:rPr>
        <w:t xml:space="preserve">Pilz S, Meinitzer A, Gaksch M, et al. Homoarginine in the renal and cardiovascular systems. </w:t>
      </w:r>
      <w:r w:rsidDel="00000000" w:rsidR="00000000" w:rsidRPr="00000000">
        <w:rPr>
          <w:rFonts w:ascii="Arial" w:cs="Arial" w:eastAsia="Arial" w:hAnsi="Arial"/>
          <w:i w:val="1"/>
          <w:iCs w:val="1"/>
          <w:sz w:val="22"/>
          <w:szCs w:val="22"/>
          <w:rtl w:val="0"/>
        </w:rPr>
        <w:t xml:space="preserve">Amino Acids</w:t>
      </w:r>
      <w:r w:rsidDel="00000000" w:rsidR="00000000" w:rsidRPr="00000000">
        <w:rPr>
          <w:rFonts w:ascii="Arial" w:cs="Arial" w:eastAsia="Arial" w:hAnsi="Arial"/>
          <w:sz w:val="22"/>
          <w:szCs w:val="22"/>
          <w:rtl w:val="0"/>
        </w:rPr>
        <w:t xml:space="preserve">. 2015;47(9):1703–1713. PMID: 25929587. </w:t>
      </w:r>
      <w:r w:rsidDel="00000000" w:rsidR="00000000" w:rsidRPr="00000000">
        <w:rPr>
          <w:rtl w:val="0"/>
        </w:rPr>
        <w:t xml:space="preserve"> </w:t>
      </w:r>
      <w:hyperlink r:id="rId14">
        <w:r w:rsidDel="00000000" w:rsidR="00000000" w:rsidRPr="00000000">
          <w:rPr>
            <w:color w:val="467886"/>
            <w:u w:val="single"/>
            <w:rtl w:val="0"/>
          </w:rPr>
          <w:t xml:space="preserve">https://doi.org/10.1007/s00726-015-1993-2</w:t>
        </w:r>
      </w:hyperlink>
      <w:r w:rsidDel="00000000" w:rsidR="00000000" w:rsidRPr="00000000">
        <w:rPr>
          <w:rtl w:val="0"/>
        </w:rPr>
      </w:r>
    </w:p>
    <w:p w:rsidR="00000000" w:rsidDel="00000000" w:rsidP="00000000" w:rsidRDefault="00000000" w:rsidRPr="00000000" w14:paraId="0000003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6">
      <w:pPr>
        <w:rPr>
          <w:rFonts w:ascii="Arial" w:cs="Arial" w:eastAsia="Arial" w:hAnsi="Arial"/>
          <w:sz w:val="22"/>
          <w:szCs w:val="22"/>
        </w:rPr>
      </w:pPr>
      <w:r w:rsidDel="00000000" w:rsidR="00000000" w:rsidRPr="00000000">
        <w:rPr>
          <w:rFonts w:ascii="Arial" w:cs="Arial" w:eastAsia="Arial" w:hAnsi="Arial"/>
          <w:sz w:val="22"/>
          <w:szCs w:val="22"/>
          <w:rtl w:val="0"/>
        </w:rPr>
        <w:t xml:space="preserve">Roberts LD, Boström P, O'Sullivan JF, et al. β-Aminoisobutyric acid induces browning of white fat and hepatic β-oxidation and is inversely correlated with cardiometabolic risk factors. </w:t>
      </w:r>
      <w:r w:rsidDel="00000000" w:rsidR="00000000" w:rsidRPr="00000000">
        <w:rPr>
          <w:rFonts w:ascii="Arial" w:cs="Arial" w:eastAsia="Arial" w:hAnsi="Arial"/>
          <w:i w:val="1"/>
          <w:iCs w:val="1"/>
          <w:sz w:val="22"/>
          <w:szCs w:val="22"/>
          <w:rtl w:val="0"/>
        </w:rPr>
        <w:t xml:space="preserve">Cell Metab</w:t>
      </w:r>
      <w:r w:rsidDel="00000000" w:rsidR="00000000" w:rsidRPr="00000000">
        <w:rPr>
          <w:rFonts w:ascii="Arial" w:cs="Arial" w:eastAsia="Arial" w:hAnsi="Arial"/>
          <w:sz w:val="22"/>
          <w:szCs w:val="22"/>
          <w:rtl w:val="0"/>
        </w:rPr>
        <w:t xml:space="preserve">. 2014;19(1):96–108. PMID: 24411942. </w:t>
      </w:r>
      <w:r w:rsidDel="00000000" w:rsidR="00000000" w:rsidRPr="00000000">
        <w:rPr>
          <w:rtl w:val="0"/>
        </w:rPr>
        <w:t xml:space="preserve"> </w:t>
      </w:r>
      <w:hyperlink r:id="rId15">
        <w:r w:rsidDel="00000000" w:rsidR="00000000" w:rsidRPr="00000000">
          <w:rPr>
            <w:color w:val="467886"/>
            <w:u w:val="single"/>
            <w:rtl w:val="0"/>
          </w:rPr>
          <w:t xml:space="preserve">https://doi.org/10.1016/j.cmet.2013.12.003</w:t>
        </w:r>
      </w:hyperlink>
      <w:r w:rsidDel="00000000" w:rsidR="00000000" w:rsidRPr="00000000">
        <w:rPr>
          <w:rtl w:val="0"/>
        </w:rPr>
      </w:r>
    </w:p>
    <w:p w:rsidR="00000000" w:rsidDel="00000000" w:rsidP="00000000" w:rsidRDefault="00000000" w:rsidRPr="00000000" w14:paraId="00000037">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8">
      <w:pPr>
        <w:rPr>
          <w:rFonts w:ascii="Arial" w:cs="Arial" w:eastAsia="Arial" w:hAnsi="Arial"/>
          <w:sz w:val="22"/>
          <w:szCs w:val="22"/>
        </w:rPr>
      </w:pPr>
      <w:r w:rsidDel="00000000" w:rsidR="00000000" w:rsidRPr="00000000">
        <w:rPr>
          <w:rFonts w:ascii="Arial" w:cs="Arial" w:eastAsia="Arial" w:hAnsi="Arial"/>
          <w:sz w:val="22"/>
          <w:szCs w:val="22"/>
          <w:rtl w:val="0"/>
        </w:rPr>
        <w:t xml:space="preserve">Rosen CJ, Ingelfinger JR. GLP-1 receptor agonists. </w:t>
      </w:r>
      <w:r w:rsidDel="00000000" w:rsidR="00000000" w:rsidRPr="00000000">
        <w:rPr>
          <w:rFonts w:ascii="Arial" w:cs="Arial" w:eastAsia="Arial" w:hAnsi="Arial"/>
          <w:i w:val="1"/>
          <w:iCs w:val="1"/>
          <w:sz w:val="22"/>
          <w:szCs w:val="22"/>
          <w:rtl w:val="0"/>
        </w:rPr>
        <w:t xml:space="preserve">N Engl J Med</w:t>
      </w:r>
      <w:r w:rsidDel="00000000" w:rsidR="00000000" w:rsidRPr="00000000">
        <w:rPr>
          <w:rFonts w:ascii="Arial" w:cs="Arial" w:eastAsia="Arial" w:hAnsi="Arial"/>
          <w:sz w:val="22"/>
          <w:szCs w:val="22"/>
          <w:rtl w:val="0"/>
        </w:rPr>
        <w:t xml:space="preserve">. 2026;394(13):1313–1324. PMID: 41931049. </w:t>
      </w:r>
      <w:r w:rsidDel="00000000" w:rsidR="00000000" w:rsidRPr="00000000">
        <w:rPr>
          <w:rtl w:val="0"/>
        </w:rPr>
        <w:t xml:space="preserve"> </w:t>
      </w:r>
      <w:hyperlink r:id="rId16">
        <w:r w:rsidDel="00000000" w:rsidR="00000000" w:rsidRPr="00000000">
          <w:rPr>
            <w:color w:val="467886"/>
            <w:u w:val="single"/>
            <w:rtl w:val="0"/>
          </w:rPr>
          <w:t xml:space="preserve">https://doi.org/10.1056/NEJMra2500106</w:t>
        </w:r>
      </w:hyperlink>
      <w:r w:rsidDel="00000000" w:rsidR="00000000" w:rsidRPr="00000000">
        <w:rPr>
          <w:rtl w:val="0"/>
        </w:rPr>
      </w:r>
    </w:p>
    <w:p w:rsidR="00000000" w:rsidDel="00000000" w:rsidP="00000000" w:rsidRDefault="00000000" w:rsidRPr="00000000" w14:paraId="00000039">
      <w:pPr>
        <w:rPr>
          <w:rFonts w:ascii="Arial" w:cs="Arial" w:eastAsia="Arial" w:hAnsi="Arial"/>
          <w:sz w:val="22"/>
          <w:szCs w:val="22"/>
        </w:rPr>
      </w:pPr>
      <w:r w:rsidDel="00000000" w:rsidR="00000000" w:rsidRPr="00000000">
        <w:rPr>
          <w:rFonts w:ascii="Arial" w:cs="Arial" w:eastAsia="Arial" w:hAnsi="Arial"/>
          <w:sz w:val="22"/>
          <w:szCs w:val="22"/>
          <w:rtl w:val="0"/>
        </w:rPr>
        <w:t xml:space="preserve"> </w:t>
      </w:r>
    </w:p>
    <w:sectPr>
      <w:pgSz w:h="16840" w:w="11900" w:orient="portrait"/>
      <w:pgMar w:bottom="1134" w:top="1417"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Subtitle">
    <w:name w:val="Subtitle"/>
    <w:basedOn w:val="Normal"/>
    <w:next w:val="Normal"/>
    <w:pPr>
      <w:spacing w:after="160" w:lineRule="auto"/>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hyperlink" Target="https://doi.org/10.1210/jc.2007-2851" TargetMode="External"/><Relationship Id="rId10" Type="http://schemas.openxmlformats.org/officeDocument/2006/relationships/hyperlink" Target="https://doi.org/10.1002/oby.21199" TargetMode="External"/><Relationship Id="rId13" Type="http://schemas.openxmlformats.org/officeDocument/2006/relationships/hyperlink" Target="https://doi.org/10.1038/ijo.2015.115" TargetMode="External"/><Relationship Id="rId12" Type="http://schemas.openxmlformats.org/officeDocument/2006/relationships/hyperlink" Target="https://doi.org/10.1093/bioinformatics/btad08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2337/dci24-0003" TargetMode="External"/><Relationship Id="rId15" Type="http://schemas.openxmlformats.org/officeDocument/2006/relationships/hyperlink" Target="https://doi.org/10.1016/j.cmet.2013.12.003" TargetMode="External"/><Relationship Id="rId14" Type="http://schemas.openxmlformats.org/officeDocument/2006/relationships/hyperlink" Target="https://doi.org/10.1007/s00726-015-1993-2" TargetMode="External"/><Relationship Id="rId16" Type="http://schemas.openxmlformats.org/officeDocument/2006/relationships/hyperlink" Target="https://doi.org/10.1056/NEJMra2500106"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i.org/10.1038/nrg2918" TargetMode="External"/><Relationship Id="rId8" Type="http://schemas.openxmlformats.org/officeDocument/2006/relationships/hyperlink" Target="https://doi.org/10.1126/science.aaf979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QzS7SfP0kjdUTIhxQUgKthn0OQ==">CgMxLjAaJAoBMBIfCh0IB0IZCgVBcmlhbBIQQXJpYWwgVW5pY29kZSBNUzIPaWQuY3V6NnlzbnFlcHpwOAByITF5LXNCSWRQUlJxWVNCcEFxWXBkWHFqRFBqX2VTZ0x3Mw==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