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3190" w14:textId="77777777" w:rsidR="002944ED" w:rsidRPr="00817305" w:rsidRDefault="002944ED" w:rsidP="002944ED">
      <w:pPr>
        <w:rPr>
          <w:rFonts w:ascii="Arial" w:hAnsi="Arial" w:cs="Arial"/>
          <w:b/>
          <w:bCs/>
          <w:sz w:val="20"/>
          <w:szCs w:val="20"/>
        </w:rPr>
      </w:pPr>
      <w:r w:rsidRPr="00817305">
        <w:rPr>
          <w:rFonts w:ascii="Arial" w:hAnsi="Arial" w:cs="Arial"/>
          <w:b/>
          <w:bCs/>
          <w:sz w:val="20"/>
          <w:szCs w:val="20"/>
        </w:rPr>
        <w:t>Additional Figure Caption</w:t>
      </w:r>
    </w:p>
    <w:p w14:paraId="232441F9" w14:textId="77777777" w:rsidR="002944ED" w:rsidRDefault="00817305" w:rsidP="002944ED">
      <w:pPr>
        <w:rPr>
          <w:rFonts w:ascii="Arial" w:hAnsi="Arial" w:cs="Arial"/>
          <w:sz w:val="20"/>
          <w:szCs w:val="20"/>
        </w:rPr>
      </w:pPr>
      <w:r w:rsidRPr="00817305">
        <w:rPr>
          <w:rFonts w:ascii="Arial" w:hAnsi="Arial" w:cs="Arial"/>
          <w:b/>
          <w:bCs/>
          <w:sz w:val="20"/>
          <w:szCs w:val="20"/>
        </w:rPr>
        <w:t xml:space="preserve">Figure 2D. Metabolite-centric biological knowledge network of the </w:t>
      </w:r>
      <w:proofErr w:type="spellStart"/>
      <w:r w:rsidRPr="00817305">
        <w:rPr>
          <w:rFonts w:ascii="Arial" w:hAnsi="Arial" w:cs="Arial"/>
          <w:b/>
          <w:bCs/>
          <w:sz w:val="20"/>
          <w:szCs w:val="20"/>
        </w:rPr>
        <w:t>MetRS</w:t>
      </w:r>
      <w:proofErr w:type="spellEnd"/>
      <w:r w:rsidRPr="00817305">
        <w:rPr>
          <w:rFonts w:ascii="Arial" w:hAnsi="Arial" w:cs="Arial"/>
          <w:b/>
          <w:bCs/>
          <w:sz w:val="20"/>
          <w:szCs w:val="20"/>
        </w:rPr>
        <w:t>.</w:t>
      </w:r>
      <w:r w:rsidRPr="00817305">
        <w:rPr>
          <w:rFonts w:ascii="Arial" w:hAnsi="Arial" w:cs="Arial"/>
          <w:sz w:val="20"/>
          <w:szCs w:val="20"/>
        </w:rPr>
        <w:t xml:space="preserve"> A heterogeneous undirected network graph representing the biological context of the 15 </w:t>
      </w:r>
      <w:proofErr w:type="spellStart"/>
      <w:r w:rsidRPr="00817305">
        <w:rPr>
          <w:rFonts w:ascii="Arial" w:hAnsi="Arial" w:cs="Arial"/>
          <w:sz w:val="20"/>
          <w:szCs w:val="20"/>
        </w:rPr>
        <w:t>MetRS</w:t>
      </w:r>
      <w:proofErr w:type="spellEnd"/>
      <w:r w:rsidRPr="00817305">
        <w:rPr>
          <w:rFonts w:ascii="Arial" w:hAnsi="Arial" w:cs="Arial"/>
          <w:sz w:val="20"/>
          <w:szCs w:val="20"/>
        </w:rPr>
        <w:t xml:space="preserve"> compounds (14 scored metabolites plus DMGV, retained for network completeness), constructed from first-degree neighbor relationships retrieved from </w:t>
      </w:r>
      <w:r>
        <w:rPr>
          <w:rFonts w:ascii="Arial" w:hAnsi="Arial" w:cs="Arial"/>
          <w:sz w:val="20"/>
          <w:szCs w:val="20"/>
        </w:rPr>
        <w:t xml:space="preserve">a heterogeneous biological </w:t>
      </w:r>
      <w:r w:rsidRPr="00817305">
        <w:rPr>
          <w:rFonts w:ascii="Arial" w:hAnsi="Arial" w:cs="Arial"/>
          <w:sz w:val="20"/>
          <w:szCs w:val="20"/>
        </w:rPr>
        <w:t>knowledge grap</w:t>
      </w:r>
      <w:r>
        <w:rPr>
          <w:rFonts w:ascii="Arial" w:hAnsi="Arial" w:cs="Arial"/>
          <w:sz w:val="20"/>
          <w:szCs w:val="20"/>
        </w:rPr>
        <w:t>h</w:t>
      </w:r>
      <w:r w:rsidRPr="00817305">
        <w:rPr>
          <w:rFonts w:ascii="Arial" w:hAnsi="Arial" w:cs="Arial"/>
          <w:sz w:val="20"/>
          <w:szCs w:val="20"/>
        </w:rPr>
        <w:t>. The network comprises 166 nodes and 184 edges spanning five node types</w:t>
      </w:r>
      <w:r>
        <w:rPr>
          <w:rFonts w:ascii="Arial" w:hAnsi="Arial" w:cs="Arial"/>
          <w:sz w:val="20"/>
          <w:szCs w:val="20"/>
        </w:rPr>
        <w:t xml:space="preserve"> </w:t>
      </w:r>
      <w:r w:rsidRPr="00817305">
        <w:rPr>
          <w:rFonts w:ascii="Arial" w:hAnsi="Arial" w:cs="Arial"/>
          <w:sz w:val="20"/>
          <w:szCs w:val="20"/>
        </w:rPr>
        <w:t xml:space="preserve">colored by type: </w:t>
      </w:r>
      <w:proofErr w:type="spellStart"/>
      <w:r w:rsidRPr="00817305">
        <w:rPr>
          <w:rFonts w:ascii="Arial" w:hAnsi="Arial" w:cs="Arial"/>
          <w:sz w:val="20"/>
          <w:szCs w:val="20"/>
        </w:rPr>
        <w:t>MetRS</w:t>
      </w:r>
      <w:proofErr w:type="spellEnd"/>
      <w:r w:rsidRPr="00817305">
        <w:rPr>
          <w:rFonts w:ascii="Arial" w:hAnsi="Arial" w:cs="Arial"/>
          <w:sz w:val="20"/>
          <w:szCs w:val="20"/>
        </w:rPr>
        <w:t xml:space="preserve"> compounds (red), genes (blue), biological processes (green), canonical pathways (orange), and disease entities (purple). Node size distinguishes biologically salient highlighted nodes</w:t>
      </w:r>
      <w:r>
        <w:rPr>
          <w:rFonts w:ascii="Arial" w:hAnsi="Arial" w:cs="Arial"/>
          <w:sz w:val="20"/>
          <w:szCs w:val="20"/>
        </w:rPr>
        <w:t xml:space="preserve"> </w:t>
      </w:r>
      <w:r w:rsidRPr="00817305">
        <w:rPr>
          <w:rFonts w:ascii="Arial" w:hAnsi="Arial" w:cs="Arial"/>
          <w:sz w:val="20"/>
          <w:szCs w:val="20"/>
        </w:rPr>
        <w:t xml:space="preserve">from background context nodes; highlighted nodes include all </w:t>
      </w:r>
      <w:proofErr w:type="spellStart"/>
      <w:r w:rsidRPr="00817305">
        <w:rPr>
          <w:rFonts w:ascii="Arial" w:hAnsi="Arial" w:cs="Arial"/>
          <w:sz w:val="20"/>
          <w:szCs w:val="20"/>
        </w:rPr>
        <w:t>MetRS</w:t>
      </w:r>
      <w:proofErr w:type="spellEnd"/>
      <w:r w:rsidRPr="00817305">
        <w:rPr>
          <w:rFonts w:ascii="Arial" w:hAnsi="Arial" w:cs="Arial"/>
          <w:sz w:val="20"/>
          <w:szCs w:val="20"/>
        </w:rPr>
        <w:t xml:space="preserve"> compound seeds, key enzyme-encoding genes (e.g., </w:t>
      </w:r>
      <w:r w:rsidRPr="00817305">
        <w:rPr>
          <w:rFonts w:ascii="Arial" w:hAnsi="Arial" w:cs="Arial"/>
          <w:i/>
          <w:iCs/>
          <w:sz w:val="20"/>
          <w:szCs w:val="20"/>
        </w:rPr>
        <w:t>IDO1</w:t>
      </w:r>
      <w:r w:rsidRPr="00817305">
        <w:rPr>
          <w:rFonts w:ascii="Arial" w:hAnsi="Arial" w:cs="Arial"/>
          <w:sz w:val="20"/>
          <w:szCs w:val="20"/>
        </w:rPr>
        <w:t xml:space="preserve">, </w:t>
      </w:r>
      <w:r w:rsidRPr="00817305">
        <w:rPr>
          <w:rFonts w:ascii="Arial" w:hAnsi="Arial" w:cs="Arial"/>
          <w:i/>
          <w:iCs/>
          <w:sz w:val="20"/>
          <w:szCs w:val="20"/>
        </w:rPr>
        <w:t>NOS3</w:t>
      </w:r>
      <w:r w:rsidRPr="00817305">
        <w:rPr>
          <w:rFonts w:ascii="Arial" w:hAnsi="Arial" w:cs="Arial"/>
          <w:sz w:val="20"/>
          <w:szCs w:val="20"/>
        </w:rPr>
        <w:t xml:space="preserve">, </w:t>
      </w:r>
      <w:r w:rsidRPr="00817305">
        <w:rPr>
          <w:rFonts w:ascii="Arial" w:hAnsi="Arial" w:cs="Arial"/>
          <w:i/>
          <w:iCs/>
          <w:sz w:val="20"/>
          <w:szCs w:val="20"/>
        </w:rPr>
        <w:t>CPT1A</w:t>
      </w:r>
      <w:r w:rsidRPr="00817305">
        <w:rPr>
          <w:rFonts w:ascii="Arial" w:hAnsi="Arial" w:cs="Arial"/>
          <w:sz w:val="20"/>
          <w:szCs w:val="20"/>
        </w:rPr>
        <w:t xml:space="preserve">, </w:t>
      </w:r>
      <w:r w:rsidRPr="00817305">
        <w:rPr>
          <w:rFonts w:ascii="Arial" w:hAnsi="Arial" w:cs="Arial"/>
          <w:i/>
          <w:iCs/>
          <w:sz w:val="20"/>
          <w:szCs w:val="20"/>
        </w:rPr>
        <w:t>UGT1A1</w:t>
      </w:r>
      <w:r w:rsidRPr="00817305">
        <w:rPr>
          <w:rFonts w:ascii="Arial" w:hAnsi="Arial" w:cs="Arial"/>
          <w:sz w:val="20"/>
          <w:szCs w:val="20"/>
        </w:rPr>
        <w:t xml:space="preserve">, </w:t>
      </w:r>
      <w:r w:rsidRPr="00817305">
        <w:rPr>
          <w:rFonts w:ascii="Arial" w:hAnsi="Arial" w:cs="Arial"/>
          <w:i/>
          <w:iCs/>
          <w:sz w:val="20"/>
          <w:szCs w:val="20"/>
        </w:rPr>
        <w:t>GCG/GLP1R</w:t>
      </w:r>
      <w:r w:rsidRPr="00817305">
        <w:rPr>
          <w:rFonts w:ascii="Arial" w:hAnsi="Arial" w:cs="Arial"/>
          <w:sz w:val="20"/>
          <w:szCs w:val="20"/>
        </w:rPr>
        <w:t>), and selected disease, pathway, and biological process nodes of established relevance to obesity and bariatric surgery outcomes.</w:t>
      </w:r>
      <w:r>
        <w:rPr>
          <w:rFonts w:ascii="Arial" w:hAnsi="Arial" w:cs="Arial"/>
          <w:sz w:val="20"/>
          <w:szCs w:val="20"/>
        </w:rPr>
        <w:t xml:space="preserve"> </w:t>
      </w:r>
      <w:r w:rsidRPr="00817305">
        <w:rPr>
          <w:rFonts w:ascii="Arial" w:hAnsi="Arial" w:cs="Arial"/>
          <w:sz w:val="20"/>
          <w:szCs w:val="20"/>
        </w:rPr>
        <w:t xml:space="preserve">Graph layout was computed using the </w:t>
      </w:r>
      <w:proofErr w:type="spellStart"/>
      <w:r w:rsidRPr="00817305">
        <w:rPr>
          <w:rFonts w:ascii="Arial" w:hAnsi="Arial" w:cs="Arial"/>
          <w:sz w:val="20"/>
          <w:szCs w:val="20"/>
        </w:rPr>
        <w:t>Fruchterman</w:t>
      </w:r>
      <w:proofErr w:type="spellEnd"/>
      <w:r>
        <w:rPr>
          <w:rFonts w:ascii="Arial" w:hAnsi="Arial" w:cs="Arial"/>
          <w:sz w:val="20"/>
          <w:szCs w:val="20"/>
        </w:rPr>
        <w:t>-</w:t>
      </w:r>
      <w:r w:rsidRPr="00817305">
        <w:rPr>
          <w:rFonts w:ascii="Arial" w:hAnsi="Arial" w:cs="Arial"/>
          <w:sz w:val="20"/>
          <w:szCs w:val="20"/>
        </w:rPr>
        <w:t>Reingold force-directed algorithm, which clusters nodes by connectivity density.</w:t>
      </w:r>
    </w:p>
    <w:p w14:paraId="4103AD12" w14:textId="77777777" w:rsidR="002944ED" w:rsidRDefault="002944ED" w:rsidP="002944ED">
      <w:pPr>
        <w:rPr>
          <w:rFonts w:ascii="Arial" w:hAnsi="Arial" w:cs="Arial"/>
          <w:sz w:val="20"/>
          <w:szCs w:val="20"/>
        </w:rPr>
      </w:pPr>
    </w:p>
    <w:p w14:paraId="45136D8C" w14:textId="77777777" w:rsidR="002944ED" w:rsidRPr="00817305" w:rsidRDefault="002944ED" w:rsidP="002944ED">
      <w:pPr>
        <w:rPr>
          <w:rFonts w:ascii="Arial" w:hAnsi="Arial" w:cs="Arial"/>
          <w:b/>
          <w:bCs/>
          <w:sz w:val="20"/>
          <w:szCs w:val="20"/>
        </w:rPr>
      </w:pPr>
      <w:r w:rsidRPr="00817305">
        <w:rPr>
          <w:rFonts w:ascii="Arial" w:hAnsi="Arial" w:cs="Arial"/>
          <w:b/>
          <w:bCs/>
          <w:sz w:val="20"/>
          <w:szCs w:val="20"/>
        </w:rPr>
        <w:t>Additional Method Section</w:t>
      </w:r>
    </w:p>
    <w:p w14:paraId="155E5DD1" w14:textId="77777777" w:rsidR="002944ED" w:rsidRPr="00817305" w:rsidRDefault="002944ED" w:rsidP="002944ED">
      <w:pPr>
        <w:rPr>
          <w:rFonts w:ascii="Arial" w:hAnsi="Arial" w:cs="Arial"/>
          <w:b/>
          <w:bCs/>
          <w:sz w:val="20"/>
          <w:szCs w:val="20"/>
        </w:rPr>
      </w:pPr>
      <w:r w:rsidRPr="00817305">
        <w:rPr>
          <w:rFonts w:ascii="Arial" w:hAnsi="Arial" w:cs="Arial"/>
          <w:b/>
          <w:bCs/>
          <w:sz w:val="20"/>
          <w:szCs w:val="20"/>
        </w:rPr>
        <w:t>Metabolite-centric biological network construction and visualization</w:t>
      </w:r>
    </w:p>
    <w:p w14:paraId="6041D91D" w14:textId="77777777" w:rsidR="002944ED" w:rsidRPr="002944ED" w:rsidRDefault="002944ED" w:rsidP="002944ED">
      <w:pPr>
        <w:rPr>
          <w:rFonts w:ascii="Arial" w:hAnsi="Arial" w:cs="Arial"/>
          <w:sz w:val="20"/>
          <w:szCs w:val="20"/>
        </w:rPr>
      </w:pPr>
      <w:r w:rsidRPr="002944ED">
        <w:rPr>
          <w:rFonts w:ascii="Arial" w:hAnsi="Arial" w:cs="Arial"/>
          <w:sz w:val="20"/>
          <w:szCs w:val="20"/>
        </w:rPr>
        <w:t xml:space="preserve">To contextualize the </w:t>
      </w:r>
      <w:proofErr w:type="spellStart"/>
      <w:r w:rsidRPr="002944ED">
        <w:rPr>
          <w:rFonts w:ascii="Arial" w:hAnsi="Arial" w:cs="Arial"/>
          <w:sz w:val="20"/>
          <w:szCs w:val="20"/>
        </w:rPr>
        <w:t>MetRS</w:t>
      </w:r>
      <w:proofErr w:type="spellEnd"/>
      <w:r w:rsidRPr="002944ED">
        <w:rPr>
          <w:rFonts w:ascii="Arial" w:hAnsi="Arial" w:cs="Arial"/>
          <w:sz w:val="20"/>
          <w:szCs w:val="20"/>
        </w:rPr>
        <w:t xml:space="preserve"> metabolites within known biological processes, a heterogeneous knowledge graph was constructed using the Scalable Precision Medicine Open Knowledge Engine (SPOKE), a large-scale biomedical knowledge graph that integrates experimentally validated relationships from 41 curated databases into a unified network of over 27 million nodes and 53 million edges spanning 21 node types and 55 edge types</w:t>
      </w:r>
      <w:r>
        <w:rPr>
          <w:rFonts w:ascii="Arial" w:hAnsi="Arial" w:cs="Arial"/>
          <w:noProof/>
          <w:sz w:val="20"/>
          <w:szCs w:val="20"/>
        </w:rPr>
        <w:t xml:space="preserve"> (https://pubmed.ncbi.nlm.nih.gov/36759942)</w:t>
      </w:r>
      <w:r>
        <w:rPr>
          <w:rFonts w:ascii="Arial" w:hAnsi="Arial" w:cs="Arial"/>
          <w:sz w:val="20"/>
          <w:szCs w:val="20"/>
        </w:rPr>
        <w:t>.</w:t>
      </w:r>
    </w:p>
    <w:p w14:paraId="59332498" w14:textId="77777777" w:rsidR="002944ED" w:rsidRPr="002944ED" w:rsidRDefault="002944ED" w:rsidP="002944ED">
      <w:pPr>
        <w:rPr>
          <w:rFonts w:ascii="Arial" w:hAnsi="Arial" w:cs="Arial"/>
          <w:sz w:val="20"/>
          <w:szCs w:val="20"/>
        </w:rPr>
      </w:pPr>
      <w:r w:rsidRPr="002944ED">
        <w:rPr>
          <w:rFonts w:ascii="Arial" w:hAnsi="Arial" w:cs="Arial"/>
          <w:sz w:val="20"/>
          <w:szCs w:val="20"/>
        </w:rPr>
        <w:t xml:space="preserve">All 15 metabolites comprising the </w:t>
      </w:r>
      <w:proofErr w:type="spellStart"/>
      <w:r w:rsidRPr="002944ED">
        <w:rPr>
          <w:rFonts w:ascii="Arial" w:hAnsi="Arial" w:cs="Arial"/>
          <w:sz w:val="20"/>
          <w:szCs w:val="20"/>
        </w:rPr>
        <w:t>MetRS</w:t>
      </w:r>
      <w:proofErr w:type="spellEnd"/>
      <w:r w:rsidRPr="002944ED">
        <w:rPr>
          <w:rFonts w:ascii="Arial" w:hAnsi="Arial" w:cs="Arial"/>
          <w:sz w:val="20"/>
          <w:szCs w:val="20"/>
        </w:rPr>
        <w:t xml:space="preserve"> served as seed node</w:t>
      </w:r>
      <w:r>
        <w:rPr>
          <w:rFonts w:ascii="Arial" w:hAnsi="Arial" w:cs="Arial"/>
          <w:sz w:val="20"/>
          <w:szCs w:val="20"/>
        </w:rPr>
        <w:t>s</w:t>
      </w:r>
      <w:r w:rsidRPr="002944ED">
        <w:rPr>
          <w:rFonts w:ascii="Arial" w:hAnsi="Arial" w:cs="Arial"/>
          <w:sz w:val="20"/>
          <w:szCs w:val="20"/>
        </w:rPr>
        <w:t>. For each seed metabolite, first-degree neighbor genes were retrieved from SPOKE using direct metabolic edges, including substrate–enzyme relationships, product–enzyme relationships, metabolic transformation edges</w:t>
      </w:r>
      <w:r>
        <w:rPr>
          <w:rFonts w:ascii="Arial" w:hAnsi="Arial" w:cs="Arial"/>
          <w:sz w:val="20"/>
          <w:szCs w:val="20"/>
        </w:rPr>
        <w:t xml:space="preserve">, </w:t>
      </w:r>
      <w:r w:rsidRPr="002944ED">
        <w:rPr>
          <w:rFonts w:ascii="Arial" w:hAnsi="Arial" w:cs="Arial"/>
          <w:sz w:val="20"/>
          <w:szCs w:val="20"/>
        </w:rPr>
        <w:t>and transporter-mediated edges</w:t>
      </w:r>
      <w:r>
        <w:rPr>
          <w:rFonts w:ascii="Arial" w:hAnsi="Arial" w:cs="Arial"/>
          <w:sz w:val="20"/>
          <w:szCs w:val="20"/>
        </w:rPr>
        <w:t xml:space="preserve">. </w:t>
      </w:r>
      <w:r w:rsidRPr="002944ED">
        <w:rPr>
          <w:rFonts w:ascii="Arial" w:hAnsi="Arial" w:cs="Arial"/>
          <w:sz w:val="20"/>
          <w:szCs w:val="20"/>
        </w:rPr>
        <w:t>Gene nodes are represented as human Entrez Gene identifiers. Each gene was then expanded to include its annotated biological processes, canonical biological pathways, and associated diseases.</w:t>
      </w:r>
    </w:p>
    <w:p w14:paraId="1A0FCD1D" w14:textId="77777777" w:rsidR="002944ED" w:rsidRPr="002944ED" w:rsidRDefault="002944ED" w:rsidP="002944ED">
      <w:pPr>
        <w:rPr>
          <w:rFonts w:ascii="Arial" w:hAnsi="Arial" w:cs="Arial"/>
          <w:sz w:val="20"/>
          <w:szCs w:val="20"/>
        </w:rPr>
      </w:pPr>
      <w:r w:rsidRPr="002944ED">
        <w:rPr>
          <w:rFonts w:ascii="Arial" w:hAnsi="Arial" w:cs="Arial"/>
          <w:sz w:val="20"/>
          <w:szCs w:val="20"/>
        </w:rPr>
        <w:t xml:space="preserve">Nodes were retained only if they were present in at least one valid edge. Connected components were analyzed, and any component lacking at least one </w:t>
      </w:r>
      <w:proofErr w:type="spellStart"/>
      <w:r w:rsidRPr="002944ED">
        <w:rPr>
          <w:rFonts w:ascii="Arial" w:hAnsi="Arial" w:cs="Arial"/>
          <w:sz w:val="20"/>
          <w:szCs w:val="20"/>
        </w:rPr>
        <w:t>MetRS</w:t>
      </w:r>
      <w:proofErr w:type="spellEnd"/>
      <w:r w:rsidRPr="002944ED">
        <w:rPr>
          <w:rFonts w:ascii="Arial" w:hAnsi="Arial" w:cs="Arial"/>
          <w:sz w:val="20"/>
          <w:szCs w:val="20"/>
        </w:rPr>
        <w:t xml:space="preserve"> compound node was removed to ensure all retained nodes were biologically grounded in the metabolomic observations. The final network comprised five node types: Compound, Gene, Biological</w:t>
      </w:r>
      <w:r>
        <w:rPr>
          <w:rFonts w:ascii="Arial" w:hAnsi="Arial" w:cs="Arial"/>
          <w:sz w:val="20"/>
          <w:szCs w:val="20"/>
        </w:rPr>
        <w:t xml:space="preserve"> </w:t>
      </w:r>
      <w:r w:rsidRPr="002944ED">
        <w:rPr>
          <w:rFonts w:ascii="Arial" w:hAnsi="Arial" w:cs="Arial"/>
          <w:sz w:val="20"/>
          <w:szCs w:val="20"/>
        </w:rPr>
        <w:t>Process (Gene Ontology</w:t>
      </w:r>
      <w:r>
        <w:rPr>
          <w:rFonts w:ascii="Arial" w:hAnsi="Arial" w:cs="Arial"/>
          <w:noProof/>
          <w:sz w:val="20"/>
          <w:szCs w:val="20"/>
        </w:rPr>
        <w:t xml:space="preserve"> (https://pubmed.ncbi.nlm.nih.gov/10802651)</w:t>
      </w:r>
      <w:r w:rsidRPr="002944ED">
        <w:rPr>
          <w:rFonts w:ascii="Arial" w:hAnsi="Arial" w:cs="Arial"/>
          <w:sz w:val="20"/>
          <w:szCs w:val="20"/>
        </w:rPr>
        <w:t>), Pathway (WikiPathways</w:t>
      </w:r>
      <w:r>
        <w:rPr>
          <w:rFonts w:ascii="Arial" w:hAnsi="Arial" w:cs="Arial"/>
          <w:noProof/>
          <w:sz w:val="20"/>
          <w:szCs w:val="20"/>
        </w:rPr>
        <w:t xml:space="preserve"> (https://pubmed.ncbi.nlm.nih.gov/29136241)</w:t>
      </w:r>
      <w:r w:rsidRPr="002944ED">
        <w:rPr>
          <w:rFonts w:ascii="Arial" w:hAnsi="Arial" w:cs="Arial"/>
          <w:sz w:val="20"/>
          <w:szCs w:val="20"/>
        </w:rPr>
        <w:t>), and Disease (Disease Ontology</w:t>
      </w:r>
      <w:r>
        <w:rPr>
          <w:rFonts w:ascii="Arial" w:hAnsi="Arial" w:cs="Arial"/>
          <w:noProof/>
          <w:sz w:val="20"/>
          <w:szCs w:val="20"/>
        </w:rPr>
        <w:t xml:space="preserve"> (https://pubmed.ncbi.nlm.nih.gov/22080554)</w:t>
      </w:r>
      <w:r w:rsidRPr="002944ED">
        <w:rPr>
          <w:rFonts w:ascii="Arial" w:hAnsi="Arial" w:cs="Arial"/>
          <w:sz w:val="20"/>
          <w:szCs w:val="20"/>
        </w:rPr>
        <w:t>).</w:t>
      </w:r>
    </w:p>
    <w:p w14:paraId="6B3C889B" w14:textId="642DA8A4" w:rsidR="004D5C46" w:rsidRDefault="002944ED">
      <w:pPr>
        <w:rPr>
          <w:rFonts w:ascii="Arial" w:hAnsi="Arial" w:cs="Arial"/>
          <w:sz w:val="20"/>
          <w:szCs w:val="20"/>
        </w:rPr>
      </w:pPr>
      <w:r w:rsidRPr="002944ED">
        <w:rPr>
          <w:rFonts w:ascii="Arial" w:hAnsi="Arial" w:cs="Arial"/>
          <w:sz w:val="20"/>
          <w:szCs w:val="20"/>
        </w:rPr>
        <w:t xml:space="preserve">The filtered node and edge tables were used to construct an undirected graph using the igraph package (v2.2.2) in R. Graph layout was computed using the </w:t>
      </w:r>
      <w:proofErr w:type="spellStart"/>
      <w:r w:rsidRPr="002944ED">
        <w:rPr>
          <w:rFonts w:ascii="Arial" w:hAnsi="Arial" w:cs="Arial"/>
          <w:sz w:val="20"/>
          <w:szCs w:val="20"/>
        </w:rPr>
        <w:t>Fruchterman</w:t>
      </w:r>
      <w:proofErr w:type="spellEnd"/>
      <w:r w:rsidR="007737ED">
        <w:rPr>
          <w:rFonts w:ascii="Arial" w:hAnsi="Arial" w:cs="Arial"/>
          <w:sz w:val="20"/>
          <w:szCs w:val="20"/>
        </w:rPr>
        <w:t>-</w:t>
      </w:r>
      <w:r w:rsidRPr="002944ED">
        <w:rPr>
          <w:rFonts w:ascii="Arial" w:hAnsi="Arial" w:cs="Arial"/>
          <w:sz w:val="20"/>
          <w:szCs w:val="20"/>
        </w:rPr>
        <w:t>Reingold force-directed algorithm, which positions highly connected nodes such that they cluster together, preserving the hub-and-spoke topology of the biological network.</w:t>
      </w:r>
    </w:p>
    <w:p w14:paraId="0C518F8F" w14:textId="77777777" w:rsidR="002944ED" w:rsidRDefault="002944ED">
      <w:pPr>
        <w:rPr>
          <w:rFonts w:ascii="Arial" w:hAnsi="Arial" w:cs="Arial"/>
          <w:sz w:val="20"/>
          <w:szCs w:val="20"/>
        </w:rPr>
      </w:pPr>
    </w:p>
    <w:p w14:paraId="2FFD0DFC" w14:textId="77777777" w:rsidR="00817305" w:rsidRDefault="002944ED" w:rsidP="002944ED">
      <w:pPr>
        <w:tabs>
          <w:tab w:val="left" w:pos="400"/>
        </w:tabs>
        <w:spacing w:after="200" w:line="240" w:lineRule="auto"/>
        <w:ind w:left="400" w:hanging="400"/>
        <w:rPr>
          <w:rFonts w:ascii="Arial" w:hAnsi="Arial" w:cs="Arial"/>
          <w:noProof/>
          <w:sz w:val="20"/>
          <w:szCs w:val="20"/>
        </w:rPr>
      </w:pPr>
      <w:r>
        <w:rPr>
          <w:rFonts w:ascii="Arial" w:hAnsi="Arial" w:cs="Arial"/>
          <w:sz w:val="20"/>
          <w:szCs w:val="20"/>
        </w:rPr>
        <w:fldChar w:fldCharType="begin" w:fldLock="1"/>
      </w:r>
      <w:r>
        <w:rPr>
          <w:rFonts w:ascii="Arial" w:hAnsi="Arial" w:cs="Arial"/>
          <w:sz w:val="20"/>
          <w:szCs w:val="20"/>
        </w:rPr>
        <w:fldChar w:fldCharType="separate"/>
      </w:r>
      <w:r w:rsidR="00817305">
        <w:rPr>
          <w:rFonts w:ascii="Arial" w:hAnsi="Arial" w:cs="Arial"/>
          <w:noProof/>
          <w:sz w:val="20"/>
          <w:szCs w:val="20"/>
        </w:rPr>
        <w:t>1.</w:t>
      </w:r>
      <w:r w:rsidR="00817305">
        <w:rPr>
          <w:rFonts w:ascii="Arial" w:hAnsi="Arial" w:cs="Arial"/>
          <w:noProof/>
          <w:sz w:val="20"/>
          <w:szCs w:val="20"/>
        </w:rPr>
        <w:tab/>
        <w:t xml:space="preserve">Morris, J.H., Soman, K., Akbas, R.E., Zhou, X., Smith, B., Meng, E.C., Huang, C.C., Cerono, G., Schenk, G., Rizk-Jackson, A., et al. (2023). The scalable precision medicine open knowledge engine (SPOKE): a massive knowledge graph of biomedical information. Bioinformatics </w:t>
      </w:r>
      <w:r w:rsidR="00817305" w:rsidRPr="00817305">
        <w:rPr>
          <w:rFonts w:ascii="Arial" w:hAnsi="Arial" w:cs="Arial"/>
          <w:i/>
          <w:noProof/>
          <w:sz w:val="20"/>
          <w:szCs w:val="20"/>
        </w:rPr>
        <w:t>39</w:t>
      </w:r>
      <w:r w:rsidR="00817305">
        <w:rPr>
          <w:rFonts w:ascii="Arial" w:hAnsi="Arial" w:cs="Arial"/>
          <w:noProof/>
          <w:sz w:val="20"/>
          <w:szCs w:val="20"/>
        </w:rPr>
        <w:t>, btad080.</w:t>
      </w:r>
    </w:p>
    <w:p w14:paraId="1A0E3665" w14:textId="77777777" w:rsidR="00817305" w:rsidRDefault="00817305" w:rsidP="002944ED">
      <w:pPr>
        <w:tabs>
          <w:tab w:val="left" w:pos="400"/>
        </w:tabs>
        <w:spacing w:after="200" w:line="240" w:lineRule="auto"/>
        <w:ind w:left="400" w:hanging="400"/>
        <w:rPr>
          <w:rFonts w:ascii="Arial" w:hAnsi="Arial" w:cs="Arial"/>
          <w:noProof/>
          <w:sz w:val="20"/>
          <w:szCs w:val="20"/>
        </w:rPr>
      </w:pPr>
      <w:r>
        <w:rPr>
          <w:rFonts w:ascii="Arial" w:hAnsi="Arial" w:cs="Arial"/>
          <w:noProof/>
          <w:sz w:val="20"/>
          <w:szCs w:val="20"/>
        </w:rPr>
        <w:t>2.</w:t>
      </w:r>
      <w:r>
        <w:rPr>
          <w:rFonts w:ascii="Arial" w:hAnsi="Arial" w:cs="Arial"/>
          <w:noProof/>
          <w:sz w:val="20"/>
          <w:szCs w:val="20"/>
        </w:rPr>
        <w:tab/>
        <w:t xml:space="preserve">Ashburner, M., Ball, C.A., Blake, J.A., Botstein, D., Butler, H., Cherry, J.M., Davis, A.P., Dolinski, K., Dwight, S.S., Eppig, J.T., et al. (2000). Gene ontology: tool for the unification of biology. The Gene Ontology Consortium. Nat. Genet. </w:t>
      </w:r>
      <w:r w:rsidRPr="00817305">
        <w:rPr>
          <w:rFonts w:ascii="Arial" w:hAnsi="Arial" w:cs="Arial"/>
          <w:i/>
          <w:noProof/>
          <w:sz w:val="20"/>
          <w:szCs w:val="20"/>
        </w:rPr>
        <w:t>25</w:t>
      </w:r>
      <w:r>
        <w:rPr>
          <w:rFonts w:ascii="Arial" w:hAnsi="Arial" w:cs="Arial"/>
          <w:noProof/>
          <w:sz w:val="20"/>
          <w:szCs w:val="20"/>
        </w:rPr>
        <w:t>, 25–29.</w:t>
      </w:r>
    </w:p>
    <w:p w14:paraId="2E497CDC" w14:textId="77777777" w:rsidR="00817305" w:rsidRDefault="00817305" w:rsidP="002944ED">
      <w:pPr>
        <w:tabs>
          <w:tab w:val="left" w:pos="400"/>
        </w:tabs>
        <w:spacing w:after="200" w:line="240" w:lineRule="auto"/>
        <w:ind w:left="400" w:hanging="400"/>
        <w:rPr>
          <w:rFonts w:ascii="Arial" w:hAnsi="Arial" w:cs="Arial"/>
          <w:noProof/>
          <w:sz w:val="20"/>
          <w:szCs w:val="20"/>
        </w:rPr>
      </w:pPr>
      <w:r>
        <w:rPr>
          <w:rFonts w:ascii="Arial" w:hAnsi="Arial" w:cs="Arial"/>
          <w:noProof/>
          <w:sz w:val="20"/>
          <w:szCs w:val="20"/>
        </w:rPr>
        <w:t>3.</w:t>
      </w:r>
      <w:r>
        <w:rPr>
          <w:rFonts w:ascii="Arial" w:hAnsi="Arial" w:cs="Arial"/>
          <w:noProof/>
          <w:sz w:val="20"/>
          <w:szCs w:val="20"/>
        </w:rPr>
        <w:tab/>
        <w:t xml:space="preserve">Slenter, D.N., Kutmon, M., Hanspers, K., Riutta, A., Windsor, J., Nunes, N., Mélius, J., Cirillo, E., Coort, S.L., Digles, D., et al. (2018). WikiPathways: a multifaceted pathway database bridging metabolomics to other omics research. Nucleic Acids Res. </w:t>
      </w:r>
      <w:r w:rsidRPr="00817305">
        <w:rPr>
          <w:rFonts w:ascii="Arial" w:hAnsi="Arial" w:cs="Arial"/>
          <w:i/>
          <w:noProof/>
          <w:sz w:val="20"/>
          <w:szCs w:val="20"/>
        </w:rPr>
        <w:t>46</w:t>
      </w:r>
      <w:r>
        <w:rPr>
          <w:rFonts w:ascii="Arial" w:hAnsi="Arial" w:cs="Arial"/>
          <w:noProof/>
          <w:sz w:val="20"/>
          <w:szCs w:val="20"/>
        </w:rPr>
        <w:t>, D661–D667.</w:t>
      </w:r>
    </w:p>
    <w:p w14:paraId="5447D84A" w14:textId="77777777" w:rsidR="002944ED" w:rsidRDefault="00817305" w:rsidP="002944ED">
      <w:pPr>
        <w:tabs>
          <w:tab w:val="left" w:pos="400"/>
        </w:tabs>
        <w:spacing w:after="200" w:line="240" w:lineRule="auto"/>
        <w:ind w:left="400" w:hanging="400"/>
        <w:rPr>
          <w:rFonts w:ascii="Arial" w:hAnsi="Arial" w:cs="Arial"/>
          <w:sz w:val="20"/>
          <w:szCs w:val="20"/>
        </w:rPr>
      </w:pPr>
      <w:r>
        <w:rPr>
          <w:rFonts w:ascii="Arial" w:hAnsi="Arial" w:cs="Arial"/>
          <w:noProof/>
          <w:sz w:val="20"/>
          <w:szCs w:val="20"/>
        </w:rPr>
        <w:t>4.</w:t>
      </w:r>
      <w:r>
        <w:rPr>
          <w:rFonts w:ascii="Arial" w:hAnsi="Arial" w:cs="Arial"/>
          <w:noProof/>
          <w:sz w:val="20"/>
          <w:szCs w:val="20"/>
        </w:rPr>
        <w:tab/>
        <w:t xml:space="preserve">Schriml, L.M., Arze, C., Nadendla, S., Chang, Y.-W.W., Mazaitis, M., Felix, V., Feng, G., and Kibbe, W.A. (2012). Disease Ontology: a backbone for disease semantic integration. Nucleic Acids Res. </w:t>
      </w:r>
      <w:r w:rsidRPr="00817305">
        <w:rPr>
          <w:rFonts w:ascii="Arial" w:hAnsi="Arial" w:cs="Arial"/>
          <w:i/>
          <w:noProof/>
          <w:sz w:val="20"/>
          <w:szCs w:val="20"/>
        </w:rPr>
        <w:t>40</w:t>
      </w:r>
      <w:r>
        <w:rPr>
          <w:rFonts w:ascii="Arial" w:hAnsi="Arial" w:cs="Arial"/>
          <w:noProof/>
          <w:sz w:val="20"/>
          <w:szCs w:val="20"/>
        </w:rPr>
        <w:t>, D940-6.</w:t>
      </w:r>
      <w:r w:rsidR="002944ED">
        <w:rPr>
          <w:rFonts w:ascii="Arial" w:hAnsi="Arial" w:cs="Arial"/>
          <w:sz w:val="20"/>
          <w:szCs w:val="20"/>
        </w:rPr>
        <w:fldChar w:fldCharType="end"/>
      </w:r>
    </w:p>
    <w:p w14:paraId="63417CF3" w14:textId="77777777" w:rsidR="002F0D10" w:rsidRDefault="002F0D10" w:rsidP="002944ED">
      <w:pPr>
        <w:tabs>
          <w:tab w:val="left" w:pos="400"/>
        </w:tabs>
        <w:spacing w:after="200" w:line="240" w:lineRule="auto"/>
        <w:ind w:left="400" w:hanging="400"/>
        <w:rPr>
          <w:rFonts w:ascii="Arial" w:hAnsi="Arial" w:cs="Arial"/>
          <w:sz w:val="20"/>
          <w:szCs w:val="20"/>
        </w:rPr>
      </w:pPr>
    </w:p>
    <w:p w14:paraId="62636FF6" w14:textId="77777777" w:rsidR="002F0D10" w:rsidRDefault="002F0D10" w:rsidP="002944ED">
      <w:pPr>
        <w:tabs>
          <w:tab w:val="left" w:pos="400"/>
        </w:tabs>
        <w:spacing w:after="200" w:line="240" w:lineRule="auto"/>
        <w:ind w:left="400" w:hanging="400"/>
        <w:rPr>
          <w:rFonts w:ascii="Arial" w:hAnsi="Arial" w:cs="Arial"/>
          <w:sz w:val="20"/>
          <w:szCs w:val="20"/>
        </w:rPr>
      </w:pPr>
    </w:p>
    <w:p w14:paraId="264C3C04" w14:textId="77777777" w:rsidR="00000000" w:rsidRPr="00B21AA4" w:rsidRDefault="00000000" w:rsidP="00B21AA4">
      <w:pPr>
        <w:rPr>
          <w:rFonts w:ascii="Arial" w:hAnsi="Arial" w:cs="Arial"/>
          <w:sz w:val="20"/>
          <w:szCs w:val="20"/>
        </w:rPr>
      </w:pPr>
    </w:p>
    <w:p w14:paraId="0BD51630" w14:textId="371D1B36" w:rsidR="00000000" w:rsidRPr="007737ED" w:rsidRDefault="00000000" w:rsidP="00B21AA4">
      <w:pPr>
        <w:rPr>
          <w:rFonts w:ascii="Arial" w:hAnsi="Arial" w:cs="Arial"/>
          <w:b/>
          <w:bCs/>
          <w:sz w:val="20"/>
          <w:szCs w:val="20"/>
        </w:rPr>
      </w:pPr>
      <w:r w:rsidRPr="00C502B0">
        <w:rPr>
          <w:rFonts w:ascii="Arial" w:hAnsi="Arial" w:cs="Arial"/>
          <w:b/>
          <w:bCs/>
          <w:sz w:val="20"/>
          <w:szCs w:val="20"/>
        </w:rPr>
        <w:t>Results</w:t>
      </w:r>
    </w:p>
    <w:p w14:paraId="08C0F75F" w14:textId="77777777" w:rsidR="00000000" w:rsidRPr="00C502B0" w:rsidRDefault="00000000" w:rsidP="00B21AA4">
      <w:pPr>
        <w:rPr>
          <w:rFonts w:ascii="Arial" w:hAnsi="Arial" w:cs="Arial"/>
          <w:b/>
          <w:bCs/>
          <w:sz w:val="20"/>
          <w:szCs w:val="20"/>
        </w:rPr>
      </w:pPr>
      <w:r w:rsidRPr="00C502B0">
        <w:rPr>
          <w:rFonts w:ascii="Arial" w:hAnsi="Arial" w:cs="Arial"/>
          <w:b/>
          <w:bCs/>
          <w:sz w:val="20"/>
          <w:szCs w:val="20"/>
        </w:rPr>
        <w:t xml:space="preserve">The </w:t>
      </w:r>
      <w:proofErr w:type="spellStart"/>
      <w:r w:rsidRPr="00C502B0">
        <w:rPr>
          <w:rFonts w:ascii="Arial" w:hAnsi="Arial" w:cs="Arial"/>
          <w:b/>
          <w:bCs/>
          <w:sz w:val="20"/>
          <w:szCs w:val="20"/>
        </w:rPr>
        <w:t>MetRS</w:t>
      </w:r>
      <w:proofErr w:type="spellEnd"/>
      <w:r w:rsidRPr="00C502B0">
        <w:rPr>
          <w:rFonts w:ascii="Arial" w:hAnsi="Arial" w:cs="Arial"/>
          <w:b/>
          <w:bCs/>
          <w:sz w:val="20"/>
          <w:szCs w:val="20"/>
        </w:rPr>
        <w:t xml:space="preserve"> Metabolites Converge on Eight Interlocking Biological Systems Implicated in Long-Term Obesity and Bariatric Surgery Outcomes</w:t>
      </w:r>
    </w:p>
    <w:p w14:paraId="6DDEB95F" w14:textId="77777777" w:rsidR="00000000" w:rsidRPr="00B21AA4" w:rsidRDefault="00000000" w:rsidP="00B21AA4">
      <w:pPr>
        <w:rPr>
          <w:rFonts w:ascii="Arial" w:hAnsi="Arial" w:cs="Arial"/>
          <w:sz w:val="20"/>
          <w:szCs w:val="20"/>
        </w:rPr>
      </w:pPr>
      <w:r w:rsidRPr="00B21AA4">
        <w:rPr>
          <w:rFonts w:ascii="Arial" w:hAnsi="Arial" w:cs="Arial"/>
          <w:sz w:val="20"/>
          <w:szCs w:val="20"/>
        </w:rPr>
        <w:t>We mapped all 13 MetRS compounds (together with DMGV, retained for network completeness) into a curated biomedical knowledge graph assembled from SPOKE (Scalable Precision Medicine Oriented Knowledge Engine), WikiPathways, Gene Ontology, and the Human Metabolome Database (Figure 2d). The resulting network comprised 166 unique nodes: 15 MetRS compounds, 60 enzyme- or transporter-encoding genes, 24 Gene Ontology biological processes, 51 canonical metabolic pathways, and 14 cardiometabolic disease entities, co</w:t>
      </w:r>
      <w:r w:rsidRPr="00B21AA4">
        <w:rPr>
          <w:rFonts w:ascii="Arial" w:hAnsi="Arial" w:cs="Arial"/>
          <w:sz w:val="20"/>
          <w:szCs w:val="20"/>
        </w:rPr>
        <w:t>nnected by 184 edges representing substrate-enzyme relationships, gene-pathway membership, and gene-disease associations curated from peer-reviewed literature (Figure 2d).</w:t>
      </w:r>
    </w:p>
    <w:p w14:paraId="147A64C1" w14:textId="77777777" w:rsidR="00000000" w:rsidRPr="00B21AA4" w:rsidRDefault="00000000" w:rsidP="00B21AA4">
      <w:pPr>
        <w:rPr>
          <w:rFonts w:ascii="Arial" w:hAnsi="Arial" w:cs="Arial"/>
          <w:sz w:val="20"/>
          <w:szCs w:val="20"/>
        </w:rPr>
      </w:pPr>
      <w:r>
        <w:rPr>
          <w:rFonts w:ascii="Arial" w:hAnsi="Arial" w:cs="Arial"/>
          <w:sz w:val="20"/>
          <w:szCs w:val="20"/>
        </w:rPr>
        <w:t>The MetRS metabolites populate eight partially overlapping biological modules, each relevant to the pathophysiology of obesity, bariatric surgery response, and long-term weight regulation (Figure 2d).</w:t>
      </w:r>
    </w:p>
    <w:p w14:paraId="36780187" w14:textId="77777777" w:rsidR="00000000" w:rsidRPr="00B21AA4" w:rsidRDefault="00000000" w:rsidP="00B21AA4">
      <w:pPr>
        <w:rPr>
          <w:rFonts w:ascii="Arial" w:hAnsi="Arial" w:cs="Arial"/>
          <w:sz w:val="20"/>
          <w:szCs w:val="20"/>
        </w:rPr>
      </w:pPr>
    </w:p>
    <w:p w14:paraId="34DF6179" w14:textId="77777777" w:rsidR="00000000" w:rsidRPr="00521A5A" w:rsidRDefault="00000000" w:rsidP="00B21AA4">
      <w:pPr>
        <w:rPr>
          <w:rFonts w:ascii="Arial" w:hAnsi="Arial" w:cs="Arial"/>
          <w:b/>
          <w:bCs/>
          <w:sz w:val="20"/>
          <w:szCs w:val="20"/>
        </w:rPr>
      </w:pPr>
      <w:r w:rsidRPr="00521A5A">
        <w:rPr>
          <w:rFonts w:ascii="Arial" w:hAnsi="Arial" w:cs="Arial"/>
          <w:b/>
          <w:bCs/>
          <w:sz w:val="20"/>
          <w:szCs w:val="20"/>
        </w:rPr>
        <w:t xml:space="preserve">Tryptophan catabolism and low-grade inflammation (L-kynurenine hub). </w:t>
      </w:r>
    </w:p>
    <w:p w14:paraId="78AB3918" w14:textId="77777777" w:rsidR="00000000" w:rsidRPr="00B21AA4" w:rsidRDefault="00000000" w:rsidP="00B21AA4">
      <w:pPr>
        <w:rPr>
          <w:rFonts w:ascii="Arial" w:hAnsi="Arial" w:cs="Arial"/>
          <w:sz w:val="20"/>
          <w:szCs w:val="20"/>
        </w:rPr>
      </w:pPr>
      <w:r w:rsidRPr="00B21AA4">
        <w:rPr>
          <w:rFonts w:ascii="Arial" w:hAnsi="Arial" w:cs="Arial"/>
          <w:sz w:val="20"/>
          <w:szCs w:val="20"/>
        </w:rPr>
        <w:t>The most densely connected MetRS compound in the network was L-kynurenine, which anchored an eleven-gene subgraph comprising the rate-limiting tryptophan-catabolizing enzymes IDO1, IDO2, and TDO2, as well as the downstream kynurenine aminotransferases KYAT1, KYAT3, and AADAT, and the kynureninase KYNU. This gene set collectively participates in four WikiPathways-annotated pathway modules: tryptophan metabolism (WP465), the IDO metabolic pathway (WP5414), the kynurenine/cell-senescence axis (WP5044), and try</w:t>
      </w:r>
      <w:r w:rsidRPr="00B21AA4">
        <w:rPr>
          <w:rFonts w:ascii="Arial" w:hAnsi="Arial" w:cs="Arial"/>
          <w:sz w:val="20"/>
          <w:szCs w:val="20"/>
        </w:rPr>
        <w:t xml:space="preserve">ptophan catabolism to NAD+ (WP4210). IDO1, the principal inflammatory kynurenine-producing enzyme, was directly linked in the network to obesity (DOID:9970), type 2 diabetes mellitus (DOID:9352), and immune system diseases, consistent with published evidence that adipose-tissue-derived interferon-γ drives IDO1 activity in states of metabolic inflammation </w:t>
      </w:r>
      <w:r>
        <w:rPr>
          <w:rFonts w:ascii="Arial" w:hAnsi="Arial" w:cs="Arial"/>
          <w:sz w:val="20"/>
          <w:szCs w:val="20"/>
        </w:rPr>
        <w:t xml:space="preserve"> (https://pubmed.ncbi.nlm.nih.gov/28751584; https://pubmed.ncbi.nlm.nih.gov/26347385)</w:t>
      </w:r>
      <w:r w:rsidRPr="00B21AA4">
        <w:rPr>
          <w:rFonts w:ascii="Arial" w:hAnsi="Arial" w:cs="Arial"/>
          <w:sz w:val="20"/>
          <w:szCs w:val="20"/>
        </w:rPr>
        <w:t>. Higher preoperative kynurenine in the weight-regain group (Figure 2a</w:t>
      </w:r>
      <w:r w:rsidRPr="00B21AA4">
        <w:rPr>
          <w:rFonts w:ascii="Arial" w:hAnsi="Arial" w:cs="Arial"/>
          <w:sz w:val="20"/>
          <w:szCs w:val="20"/>
        </w:rPr>
        <w:t>) suggesting that weight-regain patients harbor a pre-existing inflammatory IDO1 phenotype that persists after surgery.</w:t>
      </w:r>
    </w:p>
    <w:p w14:paraId="5BBA3B43" w14:textId="77777777" w:rsidR="00000000" w:rsidRPr="00B21AA4" w:rsidRDefault="00000000" w:rsidP="00B21AA4">
      <w:pPr>
        <w:rPr>
          <w:rFonts w:ascii="Arial" w:hAnsi="Arial" w:cs="Arial"/>
          <w:sz w:val="20"/>
          <w:szCs w:val="20"/>
        </w:rPr>
      </w:pPr>
    </w:p>
    <w:p w14:paraId="1280689D" w14:textId="77777777" w:rsidR="00000000" w:rsidRPr="00521A5A" w:rsidRDefault="00000000" w:rsidP="00B21AA4">
      <w:pPr>
        <w:rPr>
          <w:rFonts w:ascii="Arial" w:hAnsi="Arial" w:cs="Arial"/>
          <w:b/>
          <w:bCs/>
          <w:sz w:val="20"/>
          <w:szCs w:val="20"/>
        </w:rPr>
      </w:pPr>
      <w:r w:rsidRPr="00521A5A">
        <w:rPr>
          <w:rFonts w:ascii="Arial" w:hAnsi="Arial" w:cs="Arial"/>
          <w:b/>
          <w:bCs/>
          <w:sz w:val="20"/>
          <w:szCs w:val="20"/>
        </w:rPr>
        <w:t>Fatty acid oxidation and mitochondrial energy sensing (malonate, BAIBA, 3-methyladipate/</w:t>
      </w:r>
      <w:proofErr w:type="spellStart"/>
      <w:r w:rsidRPr="00521A5A">
        <w:rPr>
          <w:rFonts w:ascii="Arial" w:hAnsi="Arial" w:cs="Arial"/>
          <w:b/>
          <w:bCs/>
          <w:sz w:val="20"/>
          <w:szCs w:val="20"/>
        </w:rPr>
        <w:t>pimelate</w:t>
      </w:r>
      <w:proofErr w:type="spellEnd"/>
      <w:r w:rsidRPr="00521A5A">
        <w:rPr>
          <w:rFonts w:ascii="Arial" w:hAnsi="Arial" w:cs="Arial"/>
          <w:b/>
          <w:bCs/>
          <w:sz w:val="20"/>
          <w:szCs w:val="20"/>
        </w:rPr>
        <w:t xml:space="preserve"> hub). </w:t>
      </w:r>
    </w:p>
    <w:p w14:paraId="6339F865" w14:textId="77777777" w:rsidR="00000000" w:rsidRPr="00B21AA4" w:rsidRDefault="00000000" w:rsidP="00B21AA4">
      <w:pPr>
        <w:rPr>
          <w:rFonts w:ascii="Arial" w:hAnsi="Arial" w:cs="Arial"/>
          <w:sz w:val="20"/>
          <w:szCs w:val="20"/>
        </w:rPr>
      </w:pPr>
      <w:r w:rsidRPr="00B21AA4">
        <w:rPr>
          <w:rFonts w:ascii="Arial" w:hAnsi="Arial" w:cs="Arial"/>
          <w:sz w:val="20"/>
          <w:szCs w:val="20"/>
        </w:rPr>
        <w:t>Three MetRS metabolites: malonate, 2-aminoisobutyric acid (BAIBA), and 3-methyladipate/pimelate, co-localized within a fatty acid oxidation subgraph centered on CPT1A, CPT1B (the mitochondrial fatty acid import gates), PPARA, PRKAA1/2 (AMPKα subunits), and the succinate dehydrogenase complex (SDHA–SDHD). Malonate, the free-acid form of malonyl-CoA, is an endogenous inhibitor of the CPT1A/CPT1B carnitine shuttle and is regulated by the ACACA/ACACB acetyl-CoA carboxylase system, the same axis by which hypotha</w:t>
      </w:r>
      <w:r w:rsidRPr="00B21AA4">
        <w:rPr>
          <w:rFonts w:ascii="Arial" w:hAnsi="Arial" w:cs="Arial"/>
          <w:sz w:val="20"/>
          <w:szCs w:val="20"/>
        </w:rPr>
        <w:t xml:space="preserve">lamic AMPK governs systemic fat oxidation </w:t>
      </w:r>
      <w:r>
        <w:rPr>
          <w:rFonts w:ascii="Arial" w:hAnsi="Arial" w:cs="Arial"/>
          <w:sz w:val="20"/>
          <w:szCs w:val="20"/>
        </w:rPr>
        <w:t xml:space="preserve"> (https://pubmed.ncbi.nlm.nih.gov/9063439; https://doi.org/10.1038/s42255-020-0211-1)</w:t>
      </w:r>
      <w:r w:rsidRPr="00B21AA4">
        <w:rPr>
          <w:rFonts w:ascii="Arial" w:hAnsi="Arial" w:cs="Arial"/>
          <w:sz w:val="20"/>
          <w:szCs w:val="20"/>
        </w:rPr>
        <w:t xml:space="preserve">. BAIBA, an exercise-inducible myokine derived from thymine catabolism and the KYAT3/PGC-1α axis, activates PPARA-dependent fat oxidation and stimulates UCP2-mediated thermogenesis, functioning as a circulating signal linking skeletal muscle metabolism to adipose tissue browning </w:t>
      </w:r>
      <w:r>
        <w:rPr>
          <w:rFonts w:ascii="Arial" w:hAnsi="Arial" w:cs="Arial"/>
          <w:sz w:val="20"/>
          <w:szCs w:val="20"/>
        </w:rPr>
        <w:t xml:space="preserve"> (https://pubmed.ncbi.nlm.nih.gov/24411942; https://pubmed.ncbi.nlm.nih.gov/22237023)</w:t>
      </w:r>
      <w:r w:rsidRPr="00B21AA4">
        <w:rPr>
          <w:rFonts w:ascii="Arial" w:hAnsi="Arial" w:cs="Arial"/>
          <w:sz w:val="20"/>
          <w:szCs w:val="20"/>
        </w:rPr>
        <w:t xml:space="preserve">. 3-Methyladipate </w:t>
      </w:r>
      <w:r w:rsidRPr="00B21AA4">
        <w:rPr>
          <w:rFonts w:ascii="Arial" w:hAnsi="Arial" w:cs="Arial"/>
          <w:sz w:val="20"/>
          <w:szCs w:val="20"/>
        </w:rPr>
        <w:lastRenderedPageBreak/>
        <w:t>an</w:t>
      </w:r>
      <w:r w:rsidRPr="00B21AA4">
        <w:rPr>
          <w:rFonts w:ascii="Arial" w:hAnsi="Arial" w:cs="Arial"/>
          <w:sz w:val="20"/>
          <w:szCs w:val="20"/>
        </w:rPr>
        <w:t>d pimelic acid, products of odd-chain and branched-chain fatty acid ω-oxidation, serve as indirect markers of peroxisomal fatty acid handling capacity. The negative association of all three compounds with weight regain (Figure 2a) indicates that efficient mitochondrial and peroxisomal fatty acid oxidation, governed by the CPT1A–PPARA–AMPK axis, is a determinant of long-term weight loss maintenance after RYGB.</w:t>
      </w:r>
    </w:p>
    <w:p w14:paraId="41FB1EB9" w14:textId="77777777" w:rsidR="00000000" w:rsidRPr="00B21AA4" w:rsidRDefault="00000000" w:rsidP="00B21AA4">
      <w:pPr>
        <w:rPr>
          <w:rFonts w:ascii="Arial" w:hAnsi="Arial" w:cs="Arial"/>
          <w:sz w:val="20"/>
          <w:szCs w:val="20"/>
        </w:rPr>
      </w:pPr>
    </w:p>
    <w:p w14:paraId="59D6657D" w14:textId="77777777" w:rsidR="00000000" w:rsidRPr="00521A5A" w:rsidRDefault="00000000" w:rsidP="00B21AA4">
      <w:pPr>
        <w:rPr>
          <w:rFonts w:ascii="Arial" w:hAnsi="Arial" w:cs="Arial"/>
          <w:b/>
          <w:bCs/>
          <w:sz w:val="20"/>
          <w:szCs w:val="20"/>
        </w:rPr>
      </w:pPr>
      <w:r w:rsidRPr="00521A5A">
        <w:rPr>
          <w:rFonts w:ascii="Arial" w:hAnsi="Arial" w:cs="Arial"/>
          <w:b/>
          <w:bCs/>
          <w:sz w:val="20"/>
          <w:szCs w:val="20"/>
        </w:rPr>
        <w:t>Bile acid signaling, hepatic glucuronidation, and the GLP-1 axis (glucuronate hub).</w:t>
      </w:r>
    </w:p>
    <w:p w14:paraId="110054CA" w14:textId="77777777" w:rsidR="00000000" w:rsidRPr="00B21AA4" w:rsidRDefault="00000000" w:rsidP="00B21AA4">
      <w:pPr>
        <w:rPr>
          <w:rFonts w:ascii="Arial" w:hAnsi="Arial" w:cs="Arial"/>
          <w:sz w:val="20"/>
          <w:szCs w:val="20"/>
        </w:rPr>
      </w:pPr>
      <w:r w:rsidRPr="00B21AA4">
        <w:rPr>
          <w:rFonts w:ascii="Arial" w:hAnsi="Arial" w:cs="Arial"/>
          <w:sz w:val="20"/>
          <w:szCs w:val="20"/>
        </w:rPr>
        <w:t>Glucuronate (D-glucuronic acid), which was lower in the weight-regain group (Figure 2a), occupied a central bridging position in the network between hepatic Phase II conjugation and the enterohepatic GLP-1 axis. Glucuronate is the primary substrate for the UDP-glucuronosyltransferases UGT1A1 and UGT1A3, which conjugate bile acids for biliary excretion and are principal determinants of bile acid pool composition. The network linked the bile acid master regulators CYP7A1 (rate-limiting cholesterol 7α-hydroxyl</w:t>
      </w:r>
      <w:r w:rsidRPr="00B21AA4">
        <w:rPr>
          <w:rFonts w:ascii="Arial" w:hAnsi="Arial" w:cs="Arial"/>
          <w:sz w:val="20"/>
          <w:szCs w:val="20"/>
        </w:rPr>
        <w:t xml:space="preserve">ase), NR1H4/FXR (the nuclear bile acid receptor), and FGF19 (the enterohepatic feedback hormone) to four cardiometabolic disease nodes including obesity, type 2 diabetes, metabolic-associated steatohepatitis (MASH), and cholestasis, consistent with published evidence that FXR activation is a key mechanism by which RYGB improves metabolic dysfunction beyond caloric restriction </w:t>
      </w:r>
      <w:r>
        <w:rPr>
          <w:rFonts w:ascii="Arial" w:hAnsi="Arial" w:cs="Arial"/>
          <w:sz w:val="20"/>
          <w:szCs w:val="20"/>
        </w:rPr>
        <w:t xml:space="preserve"> (https://pubmed.ncbi.nlm.nih.gov/26081915; https://pubmed.ncbi.nlm.nih.gov/20460915)</w:t>
      </w:r>
      <w:r w:rsidRPr="00B21AA4">
        <w:rPr>
          <w:rFonts w:ascii="Arial" w:hAnsi="Arial" w:cs="Arial"/>
          <w:sz w:val="20"/>
          <w:szCs w:val="20"/>
        </w:rPr>
        <w:t xml:space="preserve">. Bile acid–driven TGR5 signaling in intestinal </w:t>
      </w:r>
      <w:r w:rsidRPr="00B21AA4">
        <w:rPr>
          <w:rFonts w:ascii="Arial" w:hAnsi="Arial" w:cs="Arial"/>
          <w:sz w:val="20"/>
          <w:szCs w:val="20"/>
        </w:rPr>
        <w:t xml:space="preserve">L-cells stimulates GLP-1 secretion from the proglucagon gene product GCG, which in the network was connected to GLP-1 signaling (WP5452), thermogenesis (WP4321), and hunger and satiety pathways (WP5445) through GLP1R and DPP4. The lower preoperative glucuronate in weight-regain patients may therefore reflect a reduced capacity for bile acid conjugation and enterohepatic recycling translating into a blunted postoperative GLP-1 response and less durable weight loss </w:t>
      </w:r>
      <w:r>
        <w:rPr>
          <w:rFonts w:ascii="Arial" w:hAnsi="Arial" w:cs="Arial"/>
          <w:sz w:val="20"/>
          <w:szCs w:val="20"/>
        </w:rPr>
        <w:t xml:space="preserve"> (https://pubmed.ncbi.nlm.nih.gov/18430778; </w:t>
      </w:r>
      <w:r>
        <w:rPr>
          <w:rFonts w:ascii="Arial" w:hAnsi="Arial" w:cs="Arial"/>
          <w:sz w:val="20"/>
          <w:szCs w:val="20"/>
        </w:rPr>
        <w:t>https://pubmed.ncbi.nlm.nih.gov/19360006)</w:t>
      </w:r>
      <w:r w:rsidRPr="00B21AA4">
        <w:rPr>
          <w:rFonts w:ascii="Arial" w:hAnsi="Arial" w:cs="Arial"/>
          <w:sz w:val="20"/>
          <w:szCs w:val="20"/>
        </w:rPr>
        <w:t>.</w:t>
      </w:r>
    </w:p>
    <w:p w14:paraId="54C17DD5" w14:textId="77777777" w:rsidR="00000000" w:rsidRPr="00B21AA4" w:rsidRDefault="00000000" w:rsidP="00B21AA4">
      <w:pPr>
        <w:rPr>
          <w:rFonts w:ascii="Arial" w:hAnsi="Arial" w:cs="Arial"/>
          <w:sz w:val="20"/>
          <w:szCs w:val="20"/>
        </w:rPr>
      </w:pPr>
    </w:p>
    <w:p w14:paraId="1E0533EA" w14:textId="77777777" w:rsidR="00000000" w:rsidRPr="00521A5A" w:rsidRDefault="00000000" w:rsidP="00B21AA4">
      <w:pPr>
        <w:rPr>
          <w:rFonts w:ascii="Arial" w:hAnsi="Arial" w:cs="Arial"/>
          <w:b/>
          <w:bCs/>
          <w:sz w:val="20"/>
          <w:szCs w:val="20"/>
        </w:rPr>
      </w:pPr>
      <w:r w:rsidRPr="00521A5A">
        <w:rPr>
          <w:rFonts w:ascii="Arial" w:hAnsi="Arial" w:cs="Arial"/>
          <w:b/>
          <w:bCs/>
          <w:sz w:val="20"/>
          <w:szCs w:val="20"/>
        </w:rPr>
        <w:t>Nitric oxide metabolism and vascular energy expenditure (homoarginine, DMGV hub).</w:t>
      </w:r>
    </w:p>
    <w:p w14:paraId="48A56230"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L-homoarginine and DMGV (dimethylguanidinovaleric acid) anchored a nitric oxide subgraph centered on NOS1, NOS2, and NOS3, the three nitric oxide synthase isoforms. In the network, NOS3 was directly associated with obesity and type 2 diabetes and participated in leptin signaling (WP2034), PI3K/Akt signaling (WP4172), and the effects of nitric oxide pathway (WP1995). L-homoarginine, produced by GATM (glycine amidinotransferase) from arginine and glycine, competes with L-arginine for the NOS oxygenase active </w:t>
      </w:r>
      <w:r w:rsidRPr="00B21AA4">
        <w:rPr>
          <w:rFonts w:ascii="Arial" w:hAnsi="Arial" w:cs="Arial"/>
          <w:sz w:val="20"/>
          <w:szCs w:val="20"/>
        </w:rPr>
        <w:t xml:space="preserve">site, such that low homoarginine impairs both nitric oxide production and creatine biosynthesis simultaneously </w:t>
      </w:r>
      <w:r>
        <w:rPr>
          <w:rFonts w:ascii="Arial" w:hAnsi="Arial" w:cs="Arial"/>
          <w:sz w:val="20"/>
          <w:szCs w:val="20"/>
        </w:rPr>
        <w:t xml:space="preserve"> (https://pubmed.ncbi.nlm.nih.gov/24613022; https://pubmed.ncbi.nlm.nih.gov/23010440)</w:t>
      </w:r>
      <w:r w:rsidRPr="00B21AA4">
        <w:rPr>
          <w:rFonts w:ascii="Arial" w:hAnsi="Arial" w:cs="Arial"/>
          <w:sz w:val="20"/>
          <w:szCs w:val="20"/>
        </w:rPr>
        <w:t>. Higher preoperative homoarginine in the weight-regain group (Figure 2a) may indicate a pre-existing compensatory elevation in response to impaired NOS3 activity or reduced arginine bioavailability, linking vascular endothelial dysfunction to the systemic phenotype of poor surgical outcomes. DMGV, derived from asy</w:t>
      </w:r>
      <w:r w:rsidRPr="00B21AA4">
        <w:rPr>
          <w:rFonts w:ascii="Arial" w:hAnsi="Arial" w:cs="Arial"/>
          <w:sz w:val="20"/>
          <w:szCs w:val="20"/>
        </w:rPr>
        <w:t>mmetric dimethylarginine (ADMA) catabolism through the GATM pathway, reflects the balance between methylarginine accumulation and clearance, a direct readout of endogenous NOS inhibition and cardiovascular risk.</w:t>
      </w:r>
    </w:p>
    <w:p w14:paraId="0BB49E89" w14:textId="77777777" w:rsidR="00000000" w:rsidRPr="00B21AA4" w:rsidRDefault="00000000" w:rsidP="00B21AA4">
      <w:pPr>
        <w:rPr>
          <w:rFonts w:ascii="Arial" w:hAnsi="Arial" w:cs="Arial"/>
          <w:sz w:val="20"/>
          <w:szCs w:val="20"/>
        </w:rPr>
      </w:pPr>
    </w:p>
    <w:p w14:paraId="2B32B21B" w14:textId="77777777" w:rsidR="00000000" w:rsidRPr="00521A5A" w:rsidRDefault="00000000" w:rsidP="00B21AA4">
      <w:pPr>
        <w:rPr>
          <w:rFonts w:ascii="Arial" w:hAnsi="Arial" w:cs="Arial"/>
          <w:b/>
          <w:bCs/>
          <w:sz w:val="20"/>
          <w:szCs w:val="20"/>
        </w:rPr>
      </w:pPr>
      <w:r w:rsidRPr="00521A5A">
        <w:rPr>
          <w:rFonts w:ascii="Arial" w:hAnsi="Arial" w:cs="Arial"/>
          <w:b/>
          <w:bCs/>
          <w:sz w:val="20"/>
          <w:szCs w:val="20"/>
        </w:rPr>
        <w:t xml:space="preserve">Gut microbiome co-metabolism (4-hydroxyhippurate, 3-ureidopropionic acid hub). </w:t>
      </w:r>
    </w:p>
    <w:p w14:paraId="52E78276"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Two MetRS metabolites, 4-hydroxyhippuric acid and 3-ureidopropionic acid (N-carbamoyl-β-alanine), were connected through distinct microbial-host co-metabolic pathways. 4-Hydroxyhippuric acid is produced by microbial catabolism of dietary polyphenols to 4-hydroxybenzoic acid, followed by hepatic </w:t>
      </w:r>
      <w:r w:rsidRPr="00B21AA4">
        <w:rPr>
          <w:rFonts w:ascii="Arial" w:hAnsi="Arial" w:cs="Arial"/>
          <w:sz w:val="20"/>
          <w:szCs w:val="20"/>
        </w:rPr>
        <w:lastRenderedPageBreak/>
        <w:t xml:space="preserve">glycine conjugation, and is renally excreted via the organic anion transporter SLC22A6 (OAT1) </w:t>
      </w:r>
      <w:r>
        <w:rPr>
          <w:rFonts w:ascii="Arial" w:hAnsi="Arial" w:cs="Arial"/>
          <w:sz w:val="20"/>
          <w:szCs w:val="20"/>
        </w:rPr>
        <w:t xml:space="preserve"> (https://pubmed.ncbi.nlm.nih.gov/24760973)</w:t>
      </w:r>
      <w:r w:rsidRPr="00B21AA4">
        <w:rPr>
          <w:rFonts w:ascii="Arial" w:hAnsi="Arial" w:cs="Arial"/>
          <w:sz w:val="20"/>
          <w:szCs w:val="20"/>
        </w:rPr>
        <w:t xml:space="preserve">. Its elevation in the sustained-weight-loss group (Figure 2a) mirrors published findings that post-RYGB gut microbiome remodeling toward polyphenol-metabolizing taxa is associated with favorable metabolic outcomes </w:t>
      </w:r>
      <w:r>
        <w:rPr>
          <w:rFonts w:ascii="Arial" w:hAnsi="Arial" w:cs="Arial"/>
          <w:sz w:val="20"/>
          <w:szCs w:val="20"/>
        </w:rPr>
        <w:t xml:space="preserve"> (https://pubmed.ncbi.nlm.nih.gov/26244932; https://pubmed.ncbi.nlm.nih.gov/27617197)</w:t>
      </w:r>
      <w:r w:rsidRPr="00B21AA4">
        <w:rPr>
          <w:rFonts w:ascii="Arial" w:hAnsi="Arial" w:cs="Arial"/>
          <w:sz w:val="20"/>
          <w:szCs w:val="20"/>
        </w:rPr>
        <w:t>. 3-Ureidopropionic acid is an intermediate of pyrimidine catabolism by DPY</w:t>
      </w:r>
      <w:r w:rsidRPr="00B21AA4">
        <w:rPr>
          <w:rFonts w:ascii="Arial" w:hAnsi="Arial" w:cs="Arial"/>
          <w:sz w:val="20"/>
          <w:szCs w:val="20"/>
        </w:rPr>
        <w:t>D and DPYS, precursor to β-alanine through UPB1, and is contributed by both hepatic and intestinal microbial enzymes. In the network, β-alanine connects to the carnosine/histidine dipeptide system and to BAIBA through the KYAT3 transamination axis, providing a mechanistic link between nucleotide salvage, gut microbiome activity, and the exercised metabolic phenotype.</w:t>
      </w:r>
    </w:p>
    <w:p w14:paraId="1684BBBE" w14:textId="77777777" w:rsidR="00000000" w:rsidRPr="00B21AA4" w:rsidRDefault="00000000" w:rsidP="00B21AA4">
      <w:pPr>
        <w:rPr>
          <w:rFonts w:ascii="Arial" w:hAnsi="Arial" w:cs="Arial"/>
          <w:sz w:val="20"/>
          <w:szCs w:val="20"/>
        </w:rPr>
      </w:pPr>
    </w:p>
    <w:p w14:paraId="7D231773" w14:textId="77777777" w:rsidR="00000000" w:rsidRPr="00521A5A" w:rsidRDefault="00000000" w:rsidP="00B21AA4">
      <w:pPr>
        <w:rPr>
          <w:rFonts w:ascii="Arial" w:hAnsi="Arial" w:cs="Arial"/>
          <w:b/>
          <w:bCs/>
          <w:sz w:val="20"/>
          <w:szCs w:val="20"/>
        </w:rPr>
      </w:pPr>
      <w:r w:rsidRPr="00521A5A">
        <w:rPr>
          <w:rFonts w:ascii="Arial" w:hAnsi="Arial" w:cs="Arial"/>
          <w:b/>
          <w:bCs/>
          <w:sz w:val="20"/>
          <w:szCs w:val="20"/>
        </w:rPr>
        <w:t xml:space="preserve">Collagen turnover and tissue remodeling (hydroxyproline hub). </w:t>
      </w:r>
    </w:p>
    <w:p w14:paraId="46479628" w14:textId="77777777" w:rsidR="00000000" w:rsidRPr="00B21AA4" w:rsidRDefault="00000000" w:rsidP="00B21AA4">
      <w:pPr>
        <w:rPr>
          <w:rFonts w:ascii="Arial" w:hAnsi="Arial" w:cs="Arial"/>
          <w:sz w:val="20"/>
          <w:szCs w:val="20"/>
        </w:rPr>
      </w:pPr>
      <w:r w:rsidRPr="00B21AA4">
        <w:rPr>
          <w:rFonts w:ascii="Arial" w:hAnsi="Arial" w:cs="Arial"/>
          <w:sz w:val="20"/>
          <w:szCs w:val="20"/>
        </w:rPr>
        <w:t>Hydroxyproline, which was higher in the sustained-weight-loss group (Figure 2a), was connected in the network to a collagen catabolism subgraph comprising PRODH, ALDH4A1, HOGA1, and P4HA1. These enzymes funnel hydroxyproline carbon into the TCA cycle through glutamate and succinate intermediates. The network also connected hydroxyproline metabolism to EGLN1, the HIF prolyl-hydroxylase that uses the same 2-oxoglutarate/Fe²⁺/ascorbate cofactor chemistry as collagen hydroxylation, thereby linking collagen turn</w:t>
      </w:r>
      <w:r w:rsidRPr="00B21AA4">
        <w:rPr>
          <w:rFonts w:ascii="Arial" w:hAnsi="Arial" w:cs="Arial"/>
          <w:sz w:val="20"/>
          <w:szCs w:val="20"/>
        </w:rPr>
        <w:t xml:space="preserve">over to cellular oxygen sensing and HIF-1α stability </w:t>
      </w:r>
      <w:r>
        <w:rPr>
          <w:rFonts w:ascii="Arial" w:hAnsi="Arial" w:cs="Arial"/>
          <w:sz w:val="20"/>
          <w:szCs w:val="20"/>
        </w:rPr>
        <w:t xml:space="preserve"> (https://pubmed.ncbi.nlm.nih.gov/28990419)</w:t>
      </w:r>
      <w:r w:rsidRPr="00B21AA4">
        <w:rPr>
          <w:rFonts w:ascii="Arial" w:hAnsi="Arial" w:cs="Arial"/>
          <w:sz w:val="20"/>
          <w:szCs w:val="20"/>
        </w:rPr>
        <w:t>. Higher circulating hydroxyproline following effective RYGB likely reflects the extensive adipose tissue involution and extracellular matrix remodeling that accompanies dramatic fat mass reduction. Sustained elevations in hydroxyproline may therefore serve as a proxy for ongoing tissue remodeling capacity, distinguishing patients with active post-surgical adaptation from those in whom remodeling has stalled, whi</w:t>
      </w:r>
      <w:r w:rsidRPr="00B21AA4">
        <w:rPr>
          <w:rFonts w:ascii="Arial" w:hAnsi="Arial" w:cs="Arial"/>
          <w:sz w:val="20"/>
          <w:szCs w:val="20"/>
        </w:rPr>
        <w:t>ch may contribute to weight plateau and subsequent regain.</w:t>
      </w:r>
    </w:p>
    <w:p w14:paraId="43584E47" w14:textId="77777777" w:rsidR="00000000" w:rsidRPr="00B21AA4" w:rsidRDefault="00000000" w:rsidP="00B21AA4">
      <w:pPr>
        <w:rPr>
          <w:rFonts w:ascii="Arial" w:hAnsi="Arial" w:cs="Arial"/>
          <w:sz w:val="20"/>
          <w:szCs w:val="20"/>
        </w:rPr>
      </w:pPr>
    </w:p>
    <w:p w14:paraId="2DBFDA27" w14:textId="77777777" w:rsidR="00000000" w:rsidRPr="00521A5A" w:rsidRDefault="00000000" w:rsidP="00B21AA4">
      <w:pPr>
        <w:rPr>
          <w:rFonts w:ascii="Arial" w:hAnsi="Arial" w:cs="Arial"/>
          <w:b/>
          <w:bCs/>
          <w:sz w:val="20"/>
          <w:szCs w:val="20"/>
        </w:rPr>
      </w:pPr>
      <w:r w:rsidRPr="00521A5A">
        <w:rPr>
          <w:rFonts w:ascii="Arial" w:hAnsi="Arial" w:cs="Arial"/>
          <w:b/>
          <w:bCs/>
          <w:sz w:val="20"/>
          <w:szCs w:val="20"/>
        </w:rPr>
        <w:t xml:space="preserve">Lipid peroxidation, PPAR signaling, and ferroptosis (13-HODE, PC 34:2 hub). </w:t>
      </w:r>
    </w:p>
    <w:p w14:paraId="3420D446"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13-HODE (13-hydroxy-9,11-octadecadienoic acid) was produced in the network by ALOX15 and ALOX15B (15-lipoxygenase isoforms) from linoleic acid substrate, and connected downstream to PPARG as an endogenous ligand, GPX4 as a ferroptosis regulator, and the eicosanoid/lipoxygenase pathway (WP4721) </w:t>
      </w:r>
      <w:r>
        <w:rPr>
          <w:rFonts w:ascii="Arial" w:hAnsi="Arial" w:cs="Arial"/>
          <w:sz w:val="20"/>
          <w:szCs w:val="20"/>
        </w:rPr>
        <w:t xml:space="preserve"> (https://pubmed.ncbi.nlm.nih.gov/25316652)</w:t>
      </w:r>
      <w:r w:rsidRPr="00B21AA4">
        <w:rPr>
          <w:rFonts w:ascii="Arial" w:hAnsi="Arial" w:cs="Arial"/>
          <w:sz w:val="20"/>
          <w:szCs w:val="20"/>
        </w:rPr>
        <w:t xml:space="preserve">. PPARG, a master transcriptional regulator of adipogenesis and lipid storage, was directly associated in the network with obesity, type 2 diabetes, and MASLD. GPX4, which detoxifies lipid hydroperoxides to prevent ferroptotic cell death, was placed at the intersection of lipoxygenase activity and cellular redox status </w:t>
      </w:r>
      <w:r>
        <w:rPr>
          <w:rFonts w:ascii="Arial" w:hAnsi="Arial" w:cs="Arial"/>
          <w:sz w:val="20"/>
          <w:szCs w:val="20"/>
        </w:rPr>
        <w:t xml:space="preserve"> (https://pubmed.ncbi.nlm.nih.gov/22632970)</w:t>
      </w:r>
      <w:r w:rsidRPr="00B21AA4">
        <w:rPr>
          <w:rFonts w:ascii="Arial" w:hAnsi="Arial" w:cs="Arial"/>
          <w:sz w:val="20"/>
          <w:szCs w:val="20"/>
        </w:rPr>
        <w:t>. The network positions 13-HODE at the intersection of linoleic acid handling, PPARG-driven adipocyte biology, and redox-dependent cell survival, al</w:t>
      </w:r>
      <w:r w:rsidRPr="00B21AA4">
        <w:rPr>
          <w:rFonts w:ascii="Arial" w:hAnsi="Arial" w:cs="Arial"/>
          <w:sz w:val="20"/>
          <w:szCs w:val="20"/>
        </w:rPr>
        <w:t xml:space="preserve">l of which are reshaped during the rapid adipose mobilization that follows RYGB. PC 34:2 (phosphatidylcholine 34:2), the sole membrane lipid in the MetRS, reflected hepatic phospholipid remodeling and lipoprotein compositional changes, which are consistently observed after bariatric surgery and correlate with improvements in </w:t>
      </w:r>
      <w:proofErr w:type="spellStart"/>
      <w:r w:rsidRPr="00B21AA4">
        <w:rPr>
          <w:rFonts w:ascii="Arial" w:hAnsi="Arial" w:cs="Arial"/>
          <w:sz w:val="20"/>
          <w:szCs w:val="20"/>
        </w:rPr>
        <w:t>steatotic</w:t>
      </w:r>
      <w:proofErr w:type="spellEnd"/>
      <w:r w:rsidRPr="00B21AA4">
        <w:rPr>
          <w:rFonts w:ascii="Arial" w:hAnsi="Arial" w:cs="Arial"/>
          <w:sz w:val="20"/>
          <w:szCs w:val="20"/>
        </w:rPr>
        <w:t xml:space="preserve"> liver disease </w:t>
      </w:r>
      <w:r>
        <w:rPr>
          <w:rFonts w:ascii="Arial" w:hAnsi="Arial" w:cs="Arial"/>
          <w:sz w:val="20"/>
          <w:szCs w:val="20"/>
        </w:rPr>
        <w:t xml:space="preserve"> (https://pubmed.ncbi.nlm.nih.gov/35103178)</w:t>
      </w:r>
      <w:r w:rsidRPr="00B21AA4">
        <w:rPr>
          <w:rFonts w:ascii="Arial" w:hAnsi="Arial" w:cs="Arial"/>
          <w:sz w:val="20"/>
          <w:szCs w:val="20"/>
        </w:rPr>
        <w:t>.</w:t>
      </w:r>
    </w:p>
    <w:p w14:paraId="6A7C4D8E" w14:textId="77777777" w:rsidR="00000000" w:rsidRPr="00B21AA4" w:rsidRDefault="00000000" w:rsidP="00B21AA4">
      <w:pPr>
        <w:rPr>
          <w:rFonts w:ascii="Arial" w:hAnsi="Arial" w:cs="Arial"/>
          <w:sz w:val="20"/>
          <w:szCs w:val="20"/>
        </w:rPr>
      </w:pPr>
    </w:p>
    <w:p w14:paraId="3DB82F68" w14:textId="77777777" w:rsidR="00000000" w:rsidRPr="00521A5A" w:rsidRDefault="00000000" w:rsidP="00B21AA4">
      <w:pPr>
        <w:rPr>
          <w:rFonts w:ascii="Arial" w:hAnsi="Arial" w:cs="Arial"/>
          <w:b/>
          <w:bCs/>
          <w:sz w:val="20"/>
          <w:szCs w:val="20"/>
        </w:rPr>
      </w:pPr>
      <w:proofErr w:type="spellStart"/>
      <w:r w:rsidRPr="00521A5A">
        <w:rPr>
          <w:rFonts w:ascii="Arial" w:hAnsi="Arial" w:cs="Arial"/>
          <w:b/>
          <w:bCs/>
          <w:sz w:val="20"/>
          <w:szCs w:val="20"/>
        </w:rPr>
        <w:t>Epitranscriptomic</w:t>
      </w:r>
      <w:proofErr w:type="spellEnd"/>
      <w:r w:rsidRPr="00521A5A">
        <w:rPr>
          <w:rFonts w:ascii="Arial" w:hAnsi="Arial" w:cs="Arial"/>
          <w:b/>
          <w:bCs/>
          <w:sz w:val="20"/>
          <w:szCs w:val="20"/>
        </w:rPr>
        <w:t xml:space="preserve"> and NAD+ metabolism (1-methylguanosine hub). </w:t>
      </w:r>
    </w:p>
    <w:p w14:paraId="5DFF750F"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1-Methylguanosine, a methylated nucleoside released during RNA turnover, occupied a position in the network linking RNA modification biology to SIRT1, the NAD+-dependent deacetylase directly associated in the network with obesity, type 2 diabetes, and steatotic liver disease. SIRT1 participates in the </w:t>
      </w:r>
      <w:r w:rsidRPr="00B21AA4">
        <w:rPr>
          <w:rFonts w:ascii="Arial" w:hAnsi="Arial" w:cs="Arial"/>
          <w:sz w:val="20"/>
          <w:szCs w:val="20"/>
        </w:rPr>
        <w:lastRenderedPageBreak/>
        <w:t xml:space="preserve">regulation of bile acid biosynthesis, NAFLD (WP4396), and cholesterol homeostasis, and is activated by the rising NAD+/NADH ratio that accompanies caloric restriction and surgical weight loss </w:t>
      </w:r>
      <w:r>
        <w:rPr>
          <w:rFonts w:ascii="Arial" w:hAnsi="Arial" w:cs="Arial"/>
          <w:sz w:val="20"/>
          <w:szCs w:val="20"/>
        </w:rPr>
        <w:t xml:space="preserve"> (https://pubmed.ncbi.nlm.nih.gov/22186627; https://pubmed.ncbi.nlm.nih.gov/24786309)</w:t>
      </w:r>
      <w:r w:rsidRPr="00B21AA4">
        <w:rPr>
          <w:rFonts w:ascii="Arial" w:hAnsi="Arial" w:cs="Arial"/>
          <w:sz w:val="20"/>
          <w:szCs w:val="20"/>
        </w:rPr>
        <w:t>. 1-Methylguanosine levels reflect the rate of methylated RNA catabolism, providing a readout of post-transcriptional regulatory activity that responds to the nutrient and hormonal milieu established after surgery.</w:t>
      </w:r>
    </w:p>
    <w:p w14:paraId="2C3A96D8" w14:textId="77777777" w:rsidR="00000000" w:rsidRPr="00B21AA4" w:rsidRDefault="00000000" w:rsidP="00B21AA4">
      <w:pPr>
        <w:rPr>
          <w:rFonts w:ascii="Arial" w:hAnsi="Arial" w:cs="Arial"/>
          <w:sz w:val="20"/>
          <w:szCs w:val="20"/>
        </w:rPr>
      </w:pPr>
    </w:p>
    <w:p w14:paraId="5EB9A081" w14:textId="77777777" w:rsidR="00000000" w:rsidRPr="00B3415B" w:rsidRDefault="00000000" w:rsidP="00B21AA4">
      <w:pPr>
        <w:rPr>
          <w:rFonts w:ascii="Arial" w:hAnsi="Arial" w:cs="Arial"/>
          <w:b/>
          <w:bCs/>
          <w:sz w:val="20"/>
          <w:szCs w:val="20"/>
        </w:rPr>
      </w:pPr>
      <w:r w:rsidRPr="00B3415B">
        <w:rPr>
          <w:rFonts w:ascii="Arial" w:hAnsi="Arial" w:cs="Arial"/>
          <w:b/>
          <w:bCs/>
          <w:sz w:val="20"/>
          <w:szCs w:val="20"/>
        </w:rPr>
        <w:t>Network convergence points</w:t>
      </w:r>
    </w:p>
    <w:p w14:paraId="124F4C02" w14:textId="77777777" w:rsidR="00000000" w:rsidRPr="00B21AA4" w:rsidRDefault="00000000" w:rsidP="00B21AA4">
      <w:pPr>
        <w:rPr>
          <w:rFonts w:ascii="Arial" w:hAnsi="Arial" w:cs="Arial"/>
          <w:sz w:val="20"/>
          <w:szCs w:val="20"/>
        </w:rPr>
      </w:pPr>
      <w:r w:rsidRPr="00B21AA4">
        <w:rPr>
          <w:rFonts w:ascii="Arial" w:hAnsi="Arial" w:cs="Arial"/>
          <w:sz w:val="20"/>
          <w:szCs w:val="20"/>
        </w:rPr>
        <w:t>Several genes emerged as cross-module hubs (Figure 2d). GOT2 (glutamic-oxaloacetic transaminase 2) bridged the kynurenine and hydroxyproline catabolism modules while also operating in the malate–aspartate shuttle, linking inflammation, collagen remodeling, and mitochondrial redox balance. NOS3 converged homoarginine-derived vascular signaling with leptin-driven adipokine biology. NR1H4/FXR bridged bile acid conjugation (glucuronate) with GLP-1 (GCG, GLP1R) and hepatic lipid handling. PPARA and PPARG jointly</w:t>
      </w:r>
      <w:r w:rsidRPr="00B21AA4">
        <w:rPr>
          <w:rFonts w:ascii="Arial" w:hAnsi="Arial" w:cs="Arial"/>
          <w:sz w:val="20"/>
          <w:szCs w:val="20"/>
        </w:rPr>
        <w:t xml:space="preserve"> regulated fatty acid oxidation (malonate, BAIBA, 3-methyladipate) and oxidized lipid signaling (13-HODE), with the PPAR axis coordinating much of the MetRS metabolite panel. Eighteen of the 60 network genes were directly associated with obesity in curated disease networks, and ten were associated with type 2 diabetes mellitus, underscoring the clinical relevance of the identified mechanistic framework.</w:t>
      </w:r>
    </w:p>
    <w:p w14:paraId="0723A5B9" w14:textId="77777777" w:rsidR="00000000" w:rsidRPr="00B21AA4" w:rsidRDefault="00000000" w:rsidP="00B21AA4">
      <w:pPr>
        <w:rPr>
          <w:rFonts w:ascii="Arial" w:hAnsi="Arial" w:cs="Arial"/>
          <w:sz w:val="20"/>
          <w:szCs w:val="20"/>
        </w:rPr>
      </w:pPr>
    </w:p>
    <w:p w14:paraId="7D995822" w14:textId="77777777" w:rsidR="00000000" w:rsidRPr="00B21AA4" w:rsidRDefault="00000000" w:rsidP="00B21AA4">
      <w:pPr>
        <w:rPr>
          <w:rFonts w:ascii="Arial" w:hAnsi="Arial" w:cs="Arial"/>
          <w:sz w:val="20"/>
          <w:szCs w:val="20"/>
        </w:rPr>
      </w:pPr>
      <w:r w:rsidRPr="00B21AA4">
        <w:rPr>
          <w:rFonts w:ascii="Arial" w:hAnsi="Arial" w:cs="Arial"/>
          <w:sz w:val="20"/>
          <w:szCs w:val="20"/>
        </w:rPr>
        <w:t>Taken together, the network analysis demonstrates that the MetRS captures a preoperative metabolic phenotype reflecting the coordinated state of at least eight physiological systems (inflammatory tone, fatty acid oxidation, bile acid signaling, vascular function, gut microbiome activity, tissue remodeling, lipid homeostasis, and epitranscriptomic regulation), all of which require sustained adaptation for long-term weight loss maintenance after RYGB.</w:t>
      </w:r>
    </w:p>
    <w:p w14:paraId="7ED71DD0" w14:textId="77777777" w:rsidR="00000000" w:rsidRPr="00B21AA4" w:rsidRDefault="00000000" w:rsidP="00B21AA4">
      <w:pPr>
        <w:rPr>
          <w:rFonts w:ascii="Arial" w:hAnsi="Arial" w:cs="Arial"/>
          <w:sz w:val="20"/>
          <w:szCs w:val="20"/>
        </w:rPr>
      </w:pPr>
    </w:p>
    <w:p w14:paraId="128A9917" w14:textId="0D1FD1C9" w:rsidR="00000000" w:rsidRPr="00A80E00" w:rsidRDefault="00A80E00" w:rsidP="00B21AA4">
      <w:pPr>
        <w:rPr>
          <w:rFonts w:ascii="Arial" w:hAnsi="Arial" w:cs="Arial"/>
          <w:b/>
          <w:bCs/>
          <w:sz w:val="20"/>
          <w:szCs w:val="20"/>
        </w:rPr>
      </w:pPr>
      <w:r w:rsidRPr="00A80E00">
        <w:rPr>
          <w:rFonts w:ascii="Arial" w:hAnsi="Arial" w:cs="Arial"/>
          <w:b/>
          <w:bCs/>
          <w:sz w:val="20"/>
          <w:szCs w:val="20"/>
        </w:rPr>
        <w:t>Additional Discussion Section</w:t>
      </w:r>
    </w:p>
    <w:p w14:paraId="6A1FD222" w14:textId="77777777" w:rsidR="00000000" w:rsidRPr="00A80E00" w:rsidRDefault="00000000" w:rsidP="00B21AA4">
      <w:pPr>
        <w:rPr>
          <w:rFonts w:ascii="Arial" w:hAnsi="Arial" w:cs="Arial"/>
          <w:b/>
          <w:bCs/>
          <w:sz w:val="20"/>
          <w:szCs w:val="20"/>
        </w:rPr>
      </w:pPr>
      <w:r w:rsidRPr="00A80E00">
        <w:rPr>
          <w:rFonts w:ascii="Arial" w:hAnsi="Arial" w:cs="Arial"/>
          <w:b/>
          <w:bCs/>
          <w:sz w:val="20"/>
          <w:szCs w:val="20"/>
        </w:rPr>
        <w:t xml:space="preserve">The </w:t>
      </w:r>
      <w:proofErr w:type="spellStart"/>
      <w:r w:rsidRPr="00A80E00">
        <w:rPr>
          <w:rFonts w:ascii="Arial" w:hAnsi="Arial" w:cs="Arial"/>
          <w:b/>
          <w:bCs/>
          <w:sz w:val="20"/>
          <w:szCs w:val="20"/>
        </w:rPr>
        <w:t>MetRS</w:t>
      </w:r>
      <w:proofErr w:type="spellEnd"/>
      <w:r w:rsidRPr="00A80E00">
        <w:rPr>
          <w:rFonts w:ascii="Arial" w:hAnsi="Arial" w:cs="Arial"/>
          <w:b/>
          <w:bCs/>
          <w:sz w:val="20"/>
          <w:szCs w:val="20"/>
        </w:rPr>
        <w:t xml:space="preserve"> Encodes a Multi-System Metabolic Phenotype That Predicts Bariatric Surgery Resilience</w:t>
      </w:r>
    </w:p>
    <w:p w14:paraId="61CD46D4" w14:textId="77777777" w:rsidR="00000000" w:rsidRPr="00B21AA4" w:rsidRDefault="00000000" w:rsidP="00B21AA4">
      <w:pPr>
        <w:rPr>
          <w:rFonts w:ascii="Arial" w:hAnsi="Arial" w:cs="Arial"/>
          <w:sz w:val="20"/>
          <w:szCs w:val="20"/>
        </w:rPr>
      </w:pPr>
    </w:p>
    <w:p w14:paraId="1B23231C" w14:textId="77777777" w:rsidR="00000000" w:rsidRPr="00B21AA4" w:rsidRDefault="00000000" w:rsidP="00B21AA4">
      <w:pPr>
        <w:rPr>
          <w:rFonts w:ascii="Arial" w:hAnsi="Arial" w:cs="Arial"/>
          <w:sz w:val="20"/>
          <w:szCs w:val="20"/>
        </w:rPr>
      </w:pPr>
      <w:r w:rsidRPr="00B21AA4">
        <w:rPr>
          <w:rFonts w:ascii="Arial" w:hAnsi="Arial" w:cs="Arial"/>
          <w:sz w:val="20"/>
          <w:szCs w:val="20"/>
        </w:rPr>
        <w:t>The network analysis in Figure 2d contextualizes the MetRS as a reflection of pre-surgical metabolic readiness. The distinction between sustained weight loss and weight regain after RYGB is embedded in the simultaneous dysregulation of multiple biological axes, not in any single pathway.</w:t>
      </w:r>
    </w:p>
    <w:p w14:paraId="2E06B8D2" w14:textId="77777777" w:rsidR="00000000" w:rsidRPr="00B21AA4" w:rsidRDefault="00000000" w:rsidP="00B21AA4">
      <w:pPr>
        <w:rPr>
          <w:rFonts w:ascii="Arial" w:hAnsi="Arial" w:cs="Arial"/>
          <w:sz w:val="20"/>
          <w:szCs w:val="20"/>
        </w:rPr>
      </w:pPr>
    </w:p>
    <w:p w14:paraId="52ED2D59"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The kynurenine pathway as a biomarker of adipose inflammation. Kynurenine was the most stably selected metabolite across bootstrap iterations and the most densely connected node in the network. IDO1-driven tryptophan catabolism is induced by interferon-γ and other pro-inflammatory cytokines produced by adipose tissue macrophages in obesity </w:t>
      </w:r>
      <w:r>
        <w:rPr>
          <w:rFonts w:ascii="Arial" w:hAnsi="Arial" w:cs="Arial"/>
          <w:sz w:val="20"/>
          <w:szCs w:val="20"/>
        </w:rPr>
        <w:t xml:space="preserve"> (https://pubmed.ncbi.nlm.nih.gov/28751584; https://pubmed.ncbi.nlm.nih.gov/17167474)</w:t>
      </w:r>
      <w:r w:rsidRPr="00B21AA4">
        <w:rPr>
          <w:rFonts w:ascii="Arial" w:hAnsi="Arial" w:cs="Arial"/>
          <w:sz w:val="20"/>
          <w:szCs w:val="20"/>
        </w:rPr>
        <w:t xml:space="preserve">. Evidence from human and rodent studies consistently links elevated kynurenine with insulin resistance, worse glycemic control, and incident type 2 diabetes </w:t>
      </w:r>
      <w:r>
        <w:rPr>
          <w:rFonts w:ascii="Arial" w:hAnsi="Arial" w:cs="Arial"/>
          <w:sz w:val="20"/>
          <w:szCs w:val="20"/>
        </w:rPr>
        <w:t xml:space="preserve"> (https://pubmed.ncbi.nlm.nih.gov/26347385; https://pubmed.ncbi.nlm.nih.gov/20633104)</w:t>
      </w:r>
      <w:r w:rsidRPr="00B21AA4">
        <w:rPr>
          <w:rFonts w:ascii="Arial" w:hAnsi="Arial" w:cs="Arial"/>
          <w:sz w:val="20"/>
          <w:szCs w:val="20"/>
        </w:rPr>
        <w:t xml:space="preserve">. After RYGB, the expected reduction in adipose tissue mass should attenuate the inflammatory signal driving IDO1, </w:t>
      </w:r>
      <w:r w:rsidRPr="00B21AA4">
        <w:rPr>
          <w:rFonts w:ascii="Arial" w:hAnsi="Arial" w:cs="Arial"/>
          <w:sz w:val="20"/>
          <w:szCs w:val="20"/>
        </w:rPr>
        <w:lastRenderedPageBreak/>
        <w:t xml:space="preserve">lowering circulating kynurenine. Higher preoperative kynurenine as a </w:t>
      </w:r>
      <w:r w:rsidRPr="00B21AA4">
        <w:rPr>
          <w:rFonts w:ascii="Arial" w:hAnsi="Arial" w:cs="Arial"/>
          <w:sz w:val="20"/>
          <w:szCs w:val="20"/>
        </w:rPr>
        <w:t xml:space="preserve">predictor of weight regain suggests that patients entering surgery with more entrenched adipose inflammation (from longer-duration obesity, greater macrophage infiltration, or reduced immunoregulatory capacity) may be less able to resolve the inflammatory phenotype and maintain the metabolic benefits of surgery. Consistent with this, bariatric surgery durably reduces systemic inflammation only in a subset of patients and inflammatory markers correlate with post-operative weight trajectories </w:t>
      </w:r>
      <w:r>
        <w:rPr>
          <w:rFonts w:ascii="Arial" w:hAnsi="Arial" w:cs="Arial"/>
          <w:sz w:val="20"/>
          <w:szCs w:val="20"/>
        </w:rPr>
        <w:t xml:space="preserve"> (https://pubmed</w:t>
      </w:r>
      <w:r>
        <w:rPr>
          <w:rFonts w:ascii="Arial" w:hAnsi="Arial" w:cs="Arial"/>
          <w:sz w:val="20"/>
          <w:szCs w:val="20"/>
        </w:rPr>
        <w:t>.ncbi.nlm.nih.gov/21614570; https://pubmed.ncbi.nlm.nih.gov/32902772)</w:t>
      </w:r>
      <w:r w:rsidRPr="00B21AA4">
        <w:rPr>
          <w:rFonts w:ascii="Arial" w:hAnsi="Arial" w:cs="Arial"/>
          <w:sz w:val="20"/>
          <w:szCs w:val="20"/>
        </w:rPr>
        <w:t xml:space="preserve">. Because IDO1 activity diverts tryptophan away from serotonin synthesis, chronically elevated kynurenine may also influence appetite and mood pathways through the gut–brain axis, providing a neurobiological mechanism by which inflammation contributes to behavioral susceptibility to weight regain </w:t>
      </w:r>
      <w:r>
        <w:rPr>
          <w:rFonts w:ascii="Arial" w:hAnsi="Arial" w:cs="Arial"/>
          <w:sz w:val="20"/>
          <w:szCs w:val="20"/>
        </w:rPr>
        <w:t xml:space="preserve"> (https://pubmed.ncbi.nlm.nih.gov/26805875)</w:t>
      </w:r>
      <w:r w:rsidRPr="00B21AA4">
        <w:rPr>
          <w:rFonts w:ascii="Arial" w:hAnsi="Arial" w:cs="Arial"/>
          <w:sz w:val="20"/>
          <w:szCs w:val="20"/>
        </w:rPr>
        <w:t>.</w:t>
      </w:r>
    </w:p>
    <w:p w14:paraId="6FF1A019" w14:textId="77777777" w:rsidR="00000000" w:rsidRPr="00B21AA4" w:rsidRDefault="00000000" w:rsidP="00B21AA4">
      <w:pPr>
        <w:rPr>
          <w:rFonts w:ascii="Arial" w:hAnsi="Arial" w:cs="Arial"/>
          <w:sz w:val="20"/>
          <w:szCs w:val="20"/>
        </w:rPr>
      </w:pPr>
    </w:p>
    <w:p w14:paraId="2397C716"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The malonate–CPT1A–PPARA axis as a readout of fat-burning capacity. Malonyl-CoA, of which malonate is the free-acid metabolic counterpart, is the master allosteric inhibitor of the CPT1A/CPT1B carnitine shuttle, through which long-chain fatty acids enter the mitochondrial matrix for β-oxidation </w:t>
      </w:r>
      <w:r>
        <w:rPr>
          <w:rFonts w:ascii="Arial" w:hAnsi="Arial" w:cs="Arial"/>
          <w:sz w:val="20"/>
          <w:szCs w:val="20"/>
        </w:rPr>
        <w:t xml:space="preserve"> (https://pubmed.ncbi.nlm.nih.gov/9063439)</w:t>
      </w:r>
      <w:r w:rsidRPr="00B21AA4">
        <w:rPr>
          <w:rFonts w:ascii="Arial" w:hAnsi="Arial" w:cs="Arial"/>
          <w:sz w:val="20"/>
          <w:szCs w:val="20"/>
        </w:rPr>
        <w:t xml:space="preserve">. In the hypothalamus, rising malonyl-CoA signals energy surplus and suppresses fatty acid oxidation while promoting food intake, a central mechanism by which AMPK-dependent nutrient sensing governs energy balance </w:t>
      </w:r>
      <w:r>
        <w:rPr>
          <w:rFonts w:ascii="Arial" w:hAnsi="Arial" w:cs="Arial"/>
          <w:sz w:val="20"/>
          <w:szCs w:val="20"/>
        </w:rPr>
        <w:t xml:space="preserve"> (https://doi.org/10.1038/s42255-020-0211-1)</w:t>
      </w:r>
      <w:r w:rsidRPr="00B21AA4">
        <w:rPr>
          <w:rFonts w:ascii="Arial" w:hAnsi="Arial" w:cs="Arial"/>
          <w:sz w:val="20"/>
          <w:szCs w:val="20"/>
        </w:rPr>
        <w:t xml:space="preserve">. RYGB durably reduces fasting malonyl-CoA and increases PPARA-dependent fatty acid oxidation gene expression in liver and skeletal muscle </w:t>
      </w:r>
      <w:r>
        <w:rPr>
          <w:rFonts w:ascii="Arial" w:hAnsi="Arial" w:cs="Arial"/>
          <w:sz w:val="20"/>
          <w:szCs w:val="20"/>
        </w:rPr>
        <w:t xml:space="preserve"> (https://pubmed.ncbi.nlm.nih.gov/21656330; https://pubmed.ncbi.nlm.nih.g</w:t>
      </w:r>
      <w:r>
        <w:rPr>
          <w:rFonts w:ascii="Arial" w:hAnsi="Arial" w:cs="Arial"/>
          <w:sz w:val="20"/>
          <w:szCs w:val="20"/>
        </w:rPr>
        <w:t>ov/24622719)</w:t>
      </w:r>
      <w:r w:rsidRPr="00B21AA4">
        <w:rPr>
          <w:rFonts w:ascii="Arial" w:hAnsi="Arial" w:cs="Arial"/>
          <w:sz w:val="20"/>
          <w:szCs w:val="20"/>
        </w:rPr>
        <w:t xml:space="preserve">. Our MetRS captures this axis through malonate (a TCA cycle/malonyl-CoA proxy), BAIBA (a PPARA activator and myokine), and 3-methyladipate/pimelate (products of fatty acid ω-oxidation). BAIBA is released by skeletal muscle during exercise in a PGC-1α–PPARA–dependent manner and activates brown adipose tissue thermogenesis through UCP2 and UCP1 </w:t>
      </w:r>
      <w:r>
        <w:rPr>
          <w:rFonts w:ascii="Arial" w:hAnsi="Arial" w:cs="Arial"/>
          <w:sz w:val="20"/>
          <w:szCs w:val="20"/>
        </w:rPr>
        <w:t xml:space="preserve"> (https://pubmed.ncbi.nlm.nih.gov/24411942; https://pubmed.ncbi.nlm.nih.gov/22237023; https://pubmed.ncbi.nlm.nih.gov/26453501)</w:t>
      </w:r>
      <w:r w:rsidRPr="00B21AA4">
        <w:rPr>
          <w:rFonts w:ascii="Arial" w:hAnsi="Arial" w:cs="Arial"/>
          <w:sz w:val="20"/>
          <w:szCs w:val="20"/>
        </w:rPr>
        <w:t>. That BAIBA was positively</w:t>
      </w:r>
      <w:r w:rsidRPr="00B21AA4">
        <w:rPr>
          <w:rFonts w:ascii="Arial" w:hAnsi="Arial" w:cs="Arial"/>
          <w:sz w:val="20"/>
          <w:szCs w:val="20"/>
        </w:rPr>
        <w:t xml:space="preserve"> associated with weight regain in the univariate analysis but included in the MetRS through the bidirectional stepwise process (where it captures variance independent of other covariates) reflects a key complexity of multi-metabolite score construction: individual metabolites may carry confounded signals that are appropriately weighted only in a multivariate context. The MetRS network clarifies this complexity by situating BAIBA within the broader PPARA–CPT1A–AMPK system, where its directionality depends on</w:t>
      </w:r>
      <w:r w:rsidRPr="00B21AA4">
        <w:rPr>
          <w:rFonts w:ascii="Arial" w:hAnsi="Arial" w:cs="Arial"/>
          <w:sz w:val="20"/>
          <w:szCs w:val="20"/>
        </w:rPr>
        <w:t xml:space="preserve"> the co-regulation of multiple pathways simultaneously.</w:t>
      </w:r>
    </w:p>
    <w:p w14:paraId="10BD4EF8" w14:textId="77777777" w:rsidR="00000000" w:rsidRPr="00B21AA4" w:rsidRDefault="00000000" w:rsidP="00B21AA4">
      <w:pPr>
        <w:rPr>
          <w:rFonts w:ascii="Arial" w:hAnsi="Arial" w:cs="Arial"/>
          <w:sz w:val="20"/>
          <w:szCs w:val="20"/>
        </w:rPr>
      </w:pPr>
    </w:p>
    <w:p w14:paraId="498B2781"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Bile acid glucuronidation and the GLP-1 increment as a mechanistic substrate for surgical efficacy. RYGB is unique among weight-loss interventions in producing a dramatically amplified postprandial GLP-1 response, which is thought to account for a substantial fraction of the surgery's effects on appetite suppression, glucose homeostasis, and long-term weight maintenance </w:t>
      </w:r>
      <w:r>
        <w:rPr>
          <w:rFonts w:ascii="Arial" w:hAnsi="Arial" w:cs="Arial"/>
          <w:sz w:val="20"/>
          <w:szCs w:val="20"/>
        </w:rPr>
        <w:t xml:space="preserve"> (https://pubmed.ncbi.nlm.nih.gov/18430778; https://pubmed.ncbi.nlm.nih.gov/27222544)</w:t>
      </w:r>
      <w:r w:rsidRPr="00B21AA4">
        <w:rPr>
          <w:rFonts w:ascii="Arial" w:hAnsi="Arial" w:cs="Arial"/>
          <w:sz w:val="20"/>
          <w:szCs w:val="20"/>
        </w:rPr>
        <w:t xml:space="preserve">. The molecular basis for this GLP-1 increment involves altered bile acid delivery to the distal ileum, where bile acids activate TGR5 receptors on L-cells to stimulate GLP-1 secretion, and activate FXR to induce FGF19, which in turn regulates hepatic bile acid synthesis through CYP7A1 </w:t>
      </w:r>
      <w:r>
        <w:rPr>
          <w:rFonts w:ascii="Arial" w:hAnsi="Arial" w:cs="Arial"/>
          <w:sz w:val="20"/>
          <w:szCs w:val="20"/>
        </w:rPr>
        <w:t xml:space="preserve"> (https://pubmed.ncbi.nlm.nih.gov/26081915; https://pubmed.ncbi.nlm.nih.gov/19723493)</w:t>
      </w:r>
      <w:r w:rsidRPr="00B21AA4">
        <w:rPr>
          <w:rFonts w:ascii="Arial" w:hAnsi="Arial" w:cs="Arial"/>
          <w:sz w:val="20"/>
          <w:szCs w:val="20"/>
        </w:rPr>
        <w:t>. The network places glucuronate (lower in future weigh</w:t>
      </w:r>
      <w:r w:rsidRPr="00B21AA4">
        <w:rPr>
          <w:rFonts w:ascii="Arial" w:hAnsi="Arial" w:cs="Arial"/>
          <w:sz w:val="20"/>
          <w:szCs w:val="20"/>
        </w:rPr>
        <w:t xml:space="preserve">t-regain patients) at the center of this axis through UGT1A1 and UGT1A3, the enzymes responsible for conjugating bile acids with glucuronate for biliary secretion. Reduced preoperative glucuronate may reflect a lower baseline capacity for bile acid conjugation and enterohepatic recycling, potentially translating into a blunted GLP-1 increment post-surgery and, consequently, weaker appetite suppression and less durable weight loss. Clinical data show that the </w:t>
      </w:r>
      <w:r w:rsidRPr="00B21AA4">
        <w:rPr>
          <w:rFonts w:ascii="Arial" w:hAnsi="Arial" w:cs="Arial"/>
          <w:sz w:val="20"/>
          <w:szCs w:val="20"/>
        </w:rPr>
        <w:lastRenderedPageBreak/>
        <w:t xml:space="preserve">magnitude of the post-RYGB GLP-1 response varies </w:t>
      </w:r>
      <w:r w:rsidRPr="00B21AA4">
        <w:rPr>
          <w:rFonts w:ascii="Arial" w:hAnsi="Arial" w:cs="Arial"/>
          <w:sz w:val="20"/>
          <w:szCs w:val="20"/>
        </w:rPr>
        <w:t xml:space="preserve">substantially between individuals and independently predicts weight outcomes </w:t>
      </w:r>
      <w:r>
        <w:rPr>
          <w:rFonts w:ascii="Arial" w:hAnsi="Arial" w:cs="Arial"/>
          <w:sz w:val="20"/>
          <w:szCs w:val="20"/>
        </w:rPr>
        <w:t xml:space="preserve"> (https://pubmed.ncbi.nlm.nih.gov/16371744; https://pubmed.ncbi.nlm.nih.gov/30742833)</w:t>
      </w:r>
      <w:r w:rsidRPr="00B21AA4">
        <w:rPr>
          <w:rFonts w:ascii="Arial" w:hAnsi="Arial" w:cs="Arial"/>
          <w:sz w:val="20"/>
          <w:szCs w:val="20"/>
        </w:rPr>
        <w:t xml:space="preserve">. The FXR/NR1H4 gene bridges bile acid sensing to hepatic steatosis pathways in the network, connecting bile acid dysregulation to the metabolic dysfunction-associated liver disease that frequently co-occurs with obesity and predicts poor surgical response </w:t>
      </w:r>
      <w:r>
        <w:rPr>
          <w:rFonts w:ascii="Arial" w:hAnsi="Arial" w:cs="Arial"/>
          <w:sz w:val="20"/>
          <w:szCs w:val="20"/>
        </w:rPr>
        <w:t xml:space="preserve"> (https://pubmed.ncbi.nlm.nih.gov/20460915; https://pubmed.ncbi.nlm.nih.gov/35103178)</w:t>
      </w:r>
      <w:r w:rsidRPr="00B21AA4">
        <w:rPr>
          <w:rFonts w:ascii="Arial" w:hAnsi="Arial" w:cs="Arial"/>
          <w:sz w:val="20"/>
          <w:szCs w:val="20"/>
        </w:rPr>
        <w:t>.</w:t>
      </w:r>
    </w:p>
    <w:p w14:paraId="7A776E87" w14:textId="77777777" w:rsidR="00000000" w:rsidRPr="00B21AA4" w:rsidRDefault="00000000" w:rsidP="00B21AA4">
      <w:pPr>
        <w:rPr>
          <w:rFonts w:ascii="Arial" w:hAnsi="Arial" w:cs="Arial"/>
          <w:sz w:val="20"/>
          <w:szCs w:val="20"/>
        </w:rPr>
      </w:pPr>
    </w:p>
    <w:p w14:paraId="52D83C1C"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Nitric oxide, homoarginine, and vascular endothelial function. Lower postoperative nitric oxide bioavailability and worse endothelial function are increasingly recognized as correlates of poor bariatric surgery outcomes, particularly for cardiometabolic end points </w:t>
      </w:r>
      <w:r>
        <w:rPr>
          <w:rFonts w:ascii="Arial" w:hAnsi="Arial" w:cs="Arial"/>
          <w:sz w:val="20"/>
          <w:szCs w:val="20"/>
        </w:rPr>
        <w:t xml:space="preserve"> (https://pubmed.ncbi.nlm.nih.gov/24613022)</w:t>
      </w:r>
      <w:r w:rsidRPr="00B21AA4">
        <w:rPr>
          <w:rFonts w:ascii="Arial" w:hAnsi="Arial" w:cs="Arial"/>
          <w:sz w:val="20"/>
          <w:szCs w:val="20"/>
        </w:rPr>
        <w:t xml:space="preserve">. Homoarginine, an endogenous substrate of NOS that is produced by GATM and competes with the endogenous NOS inhibitor ADMA, has emerged in prospective studies as an inverse predictor of cardiovascular mortality </w:t>
      </w:r>
      <w:r>
        <w:rPr>
          <w:rFonts w:ascii="Arial" w:hAnsi="Arial" w:cs="Arial"/>
          <w:sz w:val="20"/>
          <w:szCs w:val="20"/>
        </w:rPr>
        <w:t xml:space="preserve"> (https://pubmed.ncbi.nlm.nih.gov/23010440; https://pubmed.ncbi.nlm.nih.gov/21558479)</w:t>
      </w:r>
      <w:r w:rsidRPr="00B21AA4">
        <w:rPr>
          <w:rFonts w:ascii="Arial" w:hAnsi="Arial" w:cs="Arial"/>
          <w:sz w:val="20"/>
          <w:szCs w:val="20"/>
        </w:rPr>
        <w:t>. GATM also catalyzes the first step in creatine biosynthesis, linking homoarginine to the creatine/phosphocreatine energy buffering system in heart and skeletal muscle. Th</w:t>
      </w:r>
      <w:r w:rsidRPr="00B21AA4">
        <w:rPr>
          <w:rFonts w:ascii="Arial" w:hAnsi="Arial" w:cs="Arial"/>
          <w:sz w:val="20"/>
          <w:szCs w:val="20"/>
        </w:rPr>
        <w:t xml:space="preserve">at homoarginine was higher in weight-regain patients may reflect either a compensatory upregulation in the face of impaired NOS3 activity (more substrate available but less NO produced) or a true difference in the GATM pathway flux. DMGV, derived from ADMA catabolism through the GATM pathway, is an endogenous NOS inhibitor whose elevation has been reported in insulin resistance and obesity </w:t>
      </w:r>
      <w:r>
        <w:rPr>
          <w:rFonts w:ascii="Arial" w:hAnsi="Arial" w:cs="Arial"/>
          <w:sz w:val="20"/>
          <w:szCs w:val="20"/>
        </w:rPr>
        <w:t xml:space="preserve"> (https://pubmed.ncbi.nlm.nih.gov/29083323)</w:t>
      </w:r>
      <w:r w:rsidRPr="00B21AA4">
        <w:rPr>
          <w:rFonts w:ascii="Arial" w:hAnsi="Arial" w:cs="Arial"/>
          <w:sz w:val="20"/>
          <w:szCs w:val="20"/>
        </w:rPr>
        <w:t>, further connecting this metabolite cluster to the vascular phenotype of me</w:t>
      </w:r>
      <w:r w:rsidRPr="00B21AA4">
        <w:rPr>
          <w:rFonts w:ascii="Arial" w:hAnsi="Arial" w:cs="Arial"/>
          <w:sz w:val="20"/>
          <w:szCs w:val="20"/>
        </w:rPr>
        <w:t>tabolic disease.</w:t>
      </w:r>
    </w:p>
    <w:p w14:paraId="4C86DCCE" w14:textId="77777777" w:rsidR="00000000" w:rsidRPr="00B21AA4" w:rsidRDefault="00000000" w:rsidP="00B21AA4">
      <w:pPr>
        <w:rPr>
          <w:rFonts w:ascii="Arial" w:hAnsi="Arial" w:cs="Arial"/>
          <w:sz w:val="20"/>
          <w:szCs w:val="20"/>
        </w:rPr>
      </w:pPr>
    </w:p>
    <w:p w14:paraId="6CD1B47B"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Gut microbiome remodeling as a bariatric surgery mechanism. RYGB produces among the most dramatic gut microbiome reconfigurations of any clinical intervention, with sustained shifts toward taxa associated with leanness and improved insulin sensitivity </w:t>
      </w:r>
      <w:r>
        <w:rPr>
          <w:rFonts w:ascii="Arial" w:hAnsi="Arial" w:cs="Arial"/>
          <w:sz w:val="20"/>
          <w:szCs w:val="20"/>
        </w:rPr>
        <w:t xml:space="preserve"> (https://pubmed.ncbi.nlm.nih.gov/26244932; https://pubmed.ncbi.nlm.nih.gov/23536013)</w:t>
      </w:r>
      <w:r w:rsidRPr="00B21AA4">
        <w:rPr>
          <w:rFonts w:ascii="Arial" w:hAnsi="Arial" w:cs="Arial"/>
          <w:sz w:val="20"/>
          <w:szCs w:val="20"/>
        </w:rPr>
        <w:t xml:space="preserve">. The MetRS captures this remodeling through 4-hydroxyhippuric acid, a polyphenol-derived co-metabolite that is elevated in the sustained-weight-loss group. Higher 4-hydroxyhippuric acid reflects greater bacterial catabolism of dietary polyphenols, a capacity that tracks with microbiome diversity and the abundance of Lachnospiraceae and Ruminococcaceae taxa associated with metabolic health </w:t>
      </w:r>
      <w:r>
        <w:rPr>
          <w:rFonts w:ascii="Arial" w:hAnsi="Arial" w:cs="Arial"/>
          <w:sz w:val="20"/>
          <w:szCs w:val="20"/>
        </w:rPr>
        <w:t xml:space="preserve"> (https://pubmed.ncbi.nlm.nih.gov/</w:t>
      </w:r>
      <w:r>
        <w:rPr>
          <w:rFonts w:ascii="Arial" w:hAnsi="Arial" w:cs="Arial"/>
          <w:sz w:val="20"/>
          <w:szCs w:val="20"/>
        </w:rPr>
        <w:t>24760973; https://pubmed.ncbi.nlm.nih.gov/27617197)</w:t>
      </w:r>
      <w:r w:rsidRPr="00B21AA4">
        <w:rPr>
          <w:rFonts w:ascii="Arial" w:hAnsi="Arial" w:cs="Arial"/>
          <w:sz w:val="20"/>
          <w:szCs w:val="20"/>
        </w:rPr>
        <w:t>. Preoperative differences in gut microbiome composition that determine polyphenol catabolism capacity may therefore be reflected in circulating 4-hydroxyhippuric acid before surgery and predict the degree to which the microbiome will successfully remodel in response to the anatomical changes imposed by RYGB. Baseline microbiome composition influences long-term bariatric surgery outcomes, though prospective microbiome-metabolome integration studies in surgi</w:t>
      </w:r>
      <w:r w:rsidRPr="00B21AA4">
        <w:rPr>
          <w:rFonts w:ascii="Arial" w:hAnsi="Arial" w:cs="Arial"/>
          <w:sz w:val="20"/>
          <w:szCs w:val="20"/>
        </w:rPr>
        <w:t xml:space="preserve">cal cohorts remain limited </w:t>
      </w:r>
      <w:r>
        <w:rPr>
          <w:rFonts w:ascii="Arial" w:hAnsi="Arial" w:cs="Arial"/>
          <w:sz w:val="20"/>
          <w:szCs w:val="20"/>
        </w:rPr>
        <w:t xml:space="preserve"> (https://pubmed.ncbi.nlm.nih.gov/31659337)</w:t>
      </w:r>
      <w:r w:rsidRPr="00B21AA4">
        <w:rPr>
          <w:rFonts w:ascii="Arial" w:hAnsi="Arial" w:cs="Arial"/>
          <w:sz w:val="20"/>
          <w:szCs w:val="20"/>
        </w:rPr>
        <w:t>.</w:t>
      </w:r>
    </w:p>
    <w:p w14:paraId="4405D73B" w14:textId="77777777" w:rsidR="00000000" w:rsidRPr="00B21AA4" w:rsidRDefault="00000000" w:rsidP="00B21AA4">
      <w:pPr>
        <w:rPr>
          <w:rFonts w:ascii="Arial" w:hAnsi="Arial" w:cs="Arial"/>
          <w:sz w:val="20"/>
          <w:szCs w:val="20"/>
        </w:rPr>
      </w:pPr>
    </w:p>
    <w:p w14:paraId="2F1ED8B6"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Collagen remodeling, HIF oxygen sensing, and adipose tissue involution. The elevation of hydroxyproline in sustained-weight-loss patients reflects the extensive extracellular matrix (ECM) remodeling that accompanies adipose tissue involution after effective RYGB. Adipose ECM in obesity is markedly fibrotic, and the capacity to resolve this fibrosis through collagen degradation and matrix metalloproteinase activity is a key determinant of functional adipose tissue remodeling </w:t>
      </w:r>
      <w:r>
        <w:rPr>
          <w:rFonts w:ascii="Arial" w:hAnsi="Arial" w:cs="Arial"/>
          <w:sz w:val="20"/>
          <w:szCs w:val="20"/>
        </w:rPr>
        <w:t xml:space="preserve"> (https://pubmed.ncbi.nlm.nih.gov/21633177)</w:t>
      </w:r>
      <w:r w:rsidRPr="00B21AA4">
        <w:rPr>
          <w:rFonts w:ascii="Arial" w:hAnsi="Arial" w:cs="Arial"/>
          <w:sz w:val="20"/>
          <w:szCs w:val="20"/>
        </w:rPr>
        <w:t xml:space="preserve">. The network connects hydroxyproline catabolism to EGLN1/PHD2, the HIF prolyl-hydroxylase that uses the same cofactor chemistry as collagen hydroxylation (2-oxoglutarate, Fe²⁺, and ascorbate). EGLN1 activity, which marks HIF-1α for proteasomal </w:t>
      </w:r>
      <w:r w:rsidRPr="00B21AA4">
        <w:rPr>
          <w:rFonts w:ascii="Arial" w:hAnsi="Arial" w:cs="Arial"/>
          <w:sz w:val="20"/>
          <w:szCs w:val="20"/>
        </w:rPr>
        <w:lastRenderedPageBreak/>
        <w:t xml:space="preserve">degradation under normoxic conditions, is impaired in obese adipose tissue due to hypoxia and ascorbate depletion, an impairment that promotes pathological angiogenesis and inflammatory macrophage polarization </w:t>
      </w:r>
      <w:r>
        <w:rPr>
          <w:rFonts w:ascii="Arial" w:hAnsi="Arial" w:cs="Arial"/>
          <w:sz w:val="20"/>
          <w:szCs w:val="20"/>
        </w:rPr>
        <w:t xml:space="preserve"> (https://pubm</w:t>
      </w:r>
      <w:r>
        <w:rPr>
          <w:rFonts w:ascii="Arial" w:hAnsi="Arial" w:cs="Arial"/>
          <w:sz w:val="20"/>
          <w:szCs w:val="20"/>
        </w:rPr>
        <w:t>ed.ncbi.nlm.nih.gov/19546236)</w:t>
      </w:r>
      <w:r w:rsidRPr="00B21AA4">
        <w:rPr>
          <w:rFonts w:ascii="Arial" w:hAnsi="Arial" w:cs="Arial"/>
          <w:sz w:val="20"/>
          <w:szCs w:val="20"/>
        </w:rPr>
        <w:t>. Higher circulating hydroxyproline in sustained-weight-loss patients may thus reflect both greater collagen catabolism and improved tissue oxygenation, as the resolving adipose depot releases the ECM content accumulated during years of obesity.</w:t>
      </w:r>
    </w:p>
    <w:p w14:paraId="4D6C95A2" w14:textId="77777777" w:rsidR="00000000" w:rsidRPr="00B21AA4" w:rsidRDefault="00000000" w:rsidP="00B21AA4">
      <w:pPr>
        <w:rPr>
          <w:rFonts w:ascii="Arial" w:hAnsi="Arial" w:cs="Arial"/>
          <w:sz w:val="20"/>
          <w:szCs w:val="20"/>
        </w:rPr>
      </w:pPr>
    </w:p>
    <w:p w14:paraId="59B547AF"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Lipid peroxidation, ferroptosis, and PPAR-mediated adipose remodeling. The inclusion of 13-HODE in the MetRS reflects a recently appreciated connection between oxidized lipid signaling, PPAR receptor activation, and iron-dependent ferroptotic cell death in adipose tissue remodeling. 13-HODE, produced by ALOX15 from linoleic acid, is an endogenous PPARG ligand that promotes adipocyte differentiation at physiological concentrations but induces ferroptotic stress at high concentrations through GPX4 inhibition </w:t>
      </w:r>
      <w:r>
        <w:rPr>
          <w:rFonts w:ascii="Arial" w:hAnsi="Arial" w:cs="Arial"/>
          <w:sz w:val="20"/>
          <w:szCs w:val="20"/>
        </w:rPr>
        <w:t xml:space="preserve"> (https://pubmed.ncbi.nlm.nih.gov/25316652; https://pubmed.ncbi.nlm.nih.gov/22632970)</w:t>
      </w:r>
      <w:r w:rsidRPr="00B21AA4">
        <w:rPr>
          <w:rFonts w:ascii="Arial" w:hAnsi="Arial" w:cs="Arial"/>
          <w:sz w:val="20"/>
          <w:szCs w:val="20"/>
        </w:rPr>
        <w:t>. The balance between PPARA (fat oxidation) and PPARG (fat storage) may determine whether a patient maintains fat mobilization or reverts to adipose expansion after surgery. That 13-HODE was lower in weight-regain patients (Figure 2a) suggests a possible reduction in PPARG-driven adipocyte renewal or a shift in the ALOX15-dependent oxidized lipid milieu, connections that should be investigated in post-surgical adipose biops</w:t>
      </w:r>
      <w:r w:rsidRPr="00B21AA4">
        <w:rPr>
          <w:rFonts w:ascii="Arial" w:hAnsi="Arial" w:cs="Arial"/>
          <w:sz w:val="20"/>
          <w:szCs w:val="20"/>
        </w:rPr>
        <w:t>y studies.</w:t>
      </w:r>
    </w:p>
    <w:p w14:paraId="1A8BEAA1" w14:textId="77777777" w:rsidR="00000000" w:rsidRPr="00B21AA4" w:rsidRDefault="00000000" w:rsidP="00B21AA4">
      <w:pPr>
        <w:rPr>
          <w:rFonts w:ascii="Arial" w:hAnsi="Arial" w:cs="Arial"/>
          <w:sz w:val="20"/>
          <w:szCs w:val="20"/>
        </w:rPr>
      </w:pPr>
    </w:p>
    <w:p w14:paraId="04B4E51A" w14:textId="77777777" w:rsidR="00000000" w:rsidRPr="00B21AA4" w:rsidRDefault="00000000" w:rsidP="00B21AA4">
      <w:pPr>
        <w:rPr>
          <w:rFonts w:ascii="Arial" w:hAnsi="Arial" w:cs="Arial"/>
          <w:sz w:val="20"/>
          <w:szCs w:val="20"/>
        </w:rPr>
      </w:pPr>
      <w:proofErr w:type="spellStart"/>
      <w:r w:rsidRPr="00B21AA4">
        <w:rPr>
          <w:rFonts w:ascii="Arial" w:hAnsi="Arial" w:cs="Arial"/>
          <w:sz w:val="20"/>
          <w:szCs w:val="20"/>
        </w:rPr>
        <w:t>Epitranscriptomics</w:t>
      </w:r>
      <w:proofErr w:type="spellEnd"/>
      <w:r w:rsidRPr="00B21AA4">
        <w:rPr>
          <w:rFonts w:ascii="Arial" w:hAnsi="Arial" w:cs="Arial"/>
          <w:sz w:val="20"/>
          <w:szCs w:val="20"/>
        </w:rPr>
        <w:t xml:space="preserve"> and the NAD+ metabolic axis. The presence of 1-methylguanosine, a modified nucleoside released by RNA turnover, in the </w:t>
      </w:r>
      <w:proofErr w:type="spellStart"/>
      <w:r w:rsidRPr="00B21AA4">
        <w:rPr>
          <w:rFonts w:ascii="Arial" w:hAnsi="Arial" w:cs="Arial"/>
          <w:sz w:val="20"/>
          <w:szCs w:val="20"/>
        </w:rPr>
        <w:t>MetRS</w:t>
      </w:r>
      <w:proofErr w:type="spellEnd"/>
      <w:r w:rsidRPr="00B21AA4">
        <w:rPr>
          <w:rFonts w:ascii="Arial" w:hAnsi="Arial" w:cs="Arial"/>
          <w:sz w:val="20"/>
          <w:szCs w:val="20"/>
        </w:rPr>
        <w:t xml:space="preserve"> connects to an emerging area of obesity biology: the relationship between </w:t>
      </w:r>
      <w:proofErr w:type="spellStart"/>
      <w:r w:rsidRPr="00B21AA4">
        <w:rPr>
          <w:rFonts w:ascii="Arial" w:hAnsi="Arial" w:cs="Arial"/>
          <w:sz w:val="20"/>
          <w:szCs w:val="20"/>
        </w:rPr>
        <w:t>epitranscriptomic</w:t>
      </w:r>
      <w:proofErr w:type="spellEnd"/>
      <w:r w:rsidRPr="00B21AA4">
        <w:rPr>
          <w:rFonts w:ascii="Arial" w:hAnsi="Arial" w:cs="Arial"/>
          <w:sz w:val="20"/>
          <w:szCs w:val="20"/>
        </w:rPr>
        <w:t xml:space="preserve"> RNA modifications and metabolic regulation. N1-methylation of guanosine in mRNA 5' caps is regulated by the METTL3/METTL14 RNA methyltransferase complex, and the resulting cap structures influence translation efficiency and cellular metabolic programs </w:t>
      </w:r>
      <w:r>
        <w:rPr>
          <w:rFonts w:ascii="Arial" w:hAnsi="Arial" w:cs="Arial"/>
          <w:sz w:val="20"/>
          <w:szCs w:val="20"/>
        </w:rPr>
        <w:t xml:space="preserve"> (https://pubmed.ncbi.nlm.nih.gov/28216634</w:t>
      </w:r>
      <w:r>
        <w:rPr>
          <w:rFonts w:ascii="Arial" w:hAnsi="Arial" w:cs="Arial"/>
          <w:sz w:val="20"/>
          <w:szCs w:val="20"/>
        </w:rPr>
        <w:t>)</w:t>
      </w:r>
      <w:r w:rsidRPr="00B21AA4">
        <w:rPr>
          <w:rFonts w:ascii="Arial" w:hAnsi="Arial" w:cs="Arial"/>
          <w:sz w:val="20"/>
          <w:szCs w:val="20"/>
        </w:rPr>
        <w:t xml:space="preserve">. Circulating 1-methylguanosine is generated during RNA degradation and reflects global RNA methylation turnover. In the network, its connection to SIRT1, via the shared NAD+ pool that rises during caloric restriction and is consumed by sirtuin activity, suggests that 1-methylguanosine may track the sirtuin-dependent metabolic reprogramming that underlies the beneficial effects of caloric restriction and bariatric surgery </w:t>
      </w:r>
      <w:r>
        <w:rPr>
          <w:rFonts w:ascii="Arial" w:hAnsi="Arial" w:cs="Arial"/>
          <w:sz w:val="20"/>
          <w:szCs w:val="20"/>
        </w:rPr>
        <w:t xml:space="preserve"> (https://pubmed.ncbi.nlm.nih.gov/22186627; https://pubmed.ncbi.nlm.nih.gov/24786309)</w:t>
      </w:r>
      <w:r w:rsidRPr="00B21AA4">
        <w:rPr>
          <w:rFonts w:ascii="Arial" w:hAnsi="Arial" w:cs="Arial"/>
          <w:sz w:val="20"/>
          <w:szCs w:val="20"/>
        </w:rPr>
        <w:t>.</w:t>
      </w:r>
    </w:p>
    <w:p w14:paraId="2AC5DC48" w14:textId="77777777" w:rsidR="00000000" w:rsidRPr="00B21AA4" w:rsidRDefault="00000000" w:rsidP="00B21AA4">
      <w:pPr>
        <w:rPr>
          <w:rFonts w:ascii="Arial" w:hAnsi="Arial" w:cs="Arial"/>
          <w:sz w:val="20"/>
          <w:szCs w:val="20"/>
        </w:rPr>
      </w:pPr>
    </w:p>
    <w:p w14:paraId="03A074BA" w14:textId="77777777" w:rsidR="00000000" w:rsidRPr="00B21AA4" w:rsidRDefault="00000000" w:rsidP="00B21AA4">
      <w:pPr>
        <w:rPr>
          <w:rFonts w:ascii="Arial" w:hAnsi="Arial" w:cs="Arial"/>
          <w:sz w:val="20"/>
          <w:szCs w:val="20"/>
        </w:rPr>
      </w:pPr>
      <w:r w:rsidRPr="00B21AA4">
        <w:rPr>
          <w:rFonts w:ascii="Arial" w:hAnsi="Arial" w:cs="Arial"/>
          <w:sz w:val="20"/>
          <w:szCs w:val="20"/>
        </w:rPr>
        <w:t>Integrated interpretation and clinical implications. The most important conclusion from the network analysis is that the MetRS captures not one but eight simultaneously dysregulated biological systems in patients who will ultimately regain weight after RYGB. This multi-system perspective has important clinical implications. Weight regain after bariatric surgery is a complex metabolic trait unlikely to yield to single-target interventions. The MetRS has potential as a decision-support tool to identify high-r</w:t>
      </w:r>
      <w:r w:rsidRPr="00B21AA4">
        <w:rPr>
          <w:rFonts w:ascii="Arial" w:hAnsi="Arial" w:cs="Arial"/>
          <w:sz w:val="20"/>
          <w:szCs w:val="20"/>
        </w:rPr>
        <w:t>isk patients before surgery and direct them toward intensified perioperative interventions, including preoperative anti-inflammatory therapy, microbiome optimization, or structured exercise to activate the PPARA–BAIBA–UCP2 thermogenic axis. The disease node associations in the network, with 18 of 60 network genes directly linked to obesity and 10 to type 2 diabetes, confirm that the MetRS metabolites reflect fundamental molecular features of the obese metabolic phenotype that persist postoperatively in susc</w:t>
      </w:r>
      <w:r w:rsidRPr="00B21AA4">
        <w:rPr>
          <w:rFonts w:ascii="Arial" w:hAnsi="Arial" w:cs="Arial"/>
          <w:sz w:val="20"/>
          <w:szCs w:val="20"/>
        </w:rPr>
        <w:t>eptible individuals. The subsequent GWAS results (Figure 3) provide genetic support for several network genes, most notably AGXT2 (which encodes an enzyme that metabolizes BAIBA and acts on DMGV) and SLC7A5 (the kynurenine transporter), offering additional mechanistic validation of the network's biological relevance.</w:t>
      </w:r>
    </w:p>
    <w:p w14:paraId="3DAAAA62" w14:textId="77777777" w:rsidR="00000000" w:rsidRPr="00B21AA4" w:rsidRDefault="00000000" w:rsidP="00B21AA4">
      <w:pPr>
        <w:rPr>
          <w:rFonts w:ascii="Arial" w:hAnsi="Arial" w:cs="Arial"/>
          <w:sz w:val="20"/>
          <w:szCs w:val="20"/>
        </w:rPr>
      </w:pPr>
    </w:p>
    <w:p w14:paraId="57574EE3" w14:textId="77777777" w:rsidR="00000000" w:rsidRPr="00B21AA4" w:rsidRDefault="00000000" w:rsidP="00B21AA4">
      <w:pPr>
        <w:rPr>
          <w:rFonts w:ascii="Arial" w:hAnsi="Arial" w:cs="Arial"/>
          <w:sz w:val="20"/>
          <w:szCs w:val="20"/>
        </w:rPr>
      </w:pPr>
      <w:r w:rsidRPr="00B21AA4">
        <w:rPr>
          <w:rFonts w:ascii="Arial" w:hAnsi="Arial" w:cs="Arial"/>
          <w:sz w:val="20"/>
          <w:szCs w:val="20"/>
        </w:rPr>
        <w:t>Future studies should integrate the MetRS prospectively with gut microbiome sequencing, adipose tissue biopsy, and post-surgical GLP-1 dynamic testing to directly test the pathway hypotheses generated by the network model. Mechanistic validation in animal models of bariatric surgery, particularly germ-free or microbiome-transplant models, would clarify the causal contributions of the gut microbiome module to long-term surgical outcomes. The convergence of multiple network genes on clinically actionable path</w:t>
      </w:r>
      <w:r w:rsidRPr="00B21AA4">
        <w:rPr>
          <w:rFonts w:ascii="Arial" w:hAnsi="Arial" w:cs="Arial"/>
          <w:sz w:val="20"/>
          <w:szCs w:val="20"/>
        </w:rPr>
        <w:t>ways (IDO1 inhibition, PPARA agonism, FXR activation, GLP-1 receptor agonism) suggests that pharmacological agents targeting these pathways could serve as adjuncts to surgery in high-MetRS individuals identified by preoperative screening.</w:t>
      </w:r>
    </w:p>
    <w:p w14:paraId="4B7A39C6" w14:textId="77777777" w:rsidR="00000000" w:rsidRPr="00B21AA4" w:rsidRDefault="00000000" w:rsidP="00B21AA4">
      <w:pPr>
        <w:rPr>
          <w:rFonts w:ascii="Arial" w:hAnsi="Arial" w:cs="Arial"/>
          <w:sz w:val="20"/>
          <w:szCs w:val="20"/>
        </w:rPr>
      </w:pPr>
    </w:p>
    <w:p w14:paraId="2B073C92" w14:textId="77777777" w:rsidR="00000000" w:rsidRPr="00B21AA4" w:rsidRDefault="00000000" w:rsidP="00B21AA4">
      <w:pPr>
        <w:rPr>
          <w:rFonts w:ascii="Arial" w:hAnsi="Arial" w:cs="Arial"/>
          <w:sz w:val="20"/>
          <w:szCs w:val="20"/>
        </w:rPr>
      </w:pPr>
    </w:p>
    <w:p w14:paraId="4FAB6622" w14:textId="77777777" w:rsidR="00000000" w:rsidRPr="00A80E00" w:rsidRDefault="00000000" w:rsidP="00B21AA4">
      <w:pPr>
        <w:rPr>
          <w:rFonts w:ascii="Arial" w:hAnsi="Arial" w:cs="Arial"/>
          <w:b/>
          <w:bCs/>
          <w:sz w:val="20"/>
          <w:szCs w:val="20"/>
        </w:rPr>
      </w:pPr>
      <w:r w:rsidRPr="00A80E00">
        <w:rPr>
          <w:rFonts w:ascii="Arial" w:hAnsi="Arial" w:cs="Arial"/>
          <w:b/>
          <w:bCs/>
          <w:sz w:val="20"/>
          <w:szCs w:val="20"/>
        </w:rPr>
        <w:t>References</w:t>
      </w:r>
    </w:p>
    <w:p w14:paraId="7D7A0FEC" w14:textId="77777777" w:rsidR="00000000" w:rsidRPr="00B21AA4" w:rsidRDefault="00000000" w:rsidP="00B21AA4">
      <w:pPr>
        <w:rPr>
          <w:rFonts w:ascii="Arial" w:hAnsi="Arial" w:cs="Arial"/>
          <w:sz w:val="20"/>
          <w:szCs w:val="20"/>
        </w:rPr>
      </w:pPr>
    </w:p>
    <w:p w14:paraId="4EC1CE50" w14:textId="77777777" w:rsidR="00000000" w:rsidRPr="00B21AA4" w:rsidRDefault="00000000" w:rsidP="00B21AA4">
      <w:pPr>
        <w:rPr>
          <w:rFonts w:ascii="Arial" w:hAnsi="Arial" w:cs="Arial"/>
          <w:sz w:val="20"/>
          <w:szCs w:val="20"/>
        </w:rPr>
      </w:pPr>
      <w:r w:rsidRPr="00B21AA4">
        <w:rPr>
          <w:rFonts w:ascii="Arial" w:hAnsi="Arial" w:cs="Arial"/>
          <w:sz w:val="20"/>
          <w:szCs w:val="20"/>
        </w:rPr>
        <w:t>Albaugh VL, Flynn CR, Cai S, et al. Early increases in bile acids post Roux-en-Y gastric bypass are driven by insulin-sensitizing, secondary bile acids. Cell Rep Med. 2022;3(2):100498.</w:t>
      </w:r>
    </w:p>
    <w:p w14:paraId="7C14BD62"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Boström P, Wu J, </w:t>
      </w:r>
      <w:proofErr w:type="spellStart"/>
      <w:r w:rsidRPr="00B21AA4">
        <w:rPr>
          <w:rFonts w:ascii="Arial" w:hAnsi="Arial" w:cs="Arial"/>
          <w:sz w:val="20"/>
          <w:szCs w:val="20"/>
        </w:rPr>
        <w:t>Jedrychowski</w:t>
      </w:r>
      <w:proofErr w:type="spellEnd"/>
      <w:r w:rsidRPr="00B21AA4">
        <w:rPr>
          <w:rFonts w:ascii="Arial" w:hAnsi="Arial" w:cs="Arial"/>
          <w:sz w:val="20"/>
          <w:szCs w:val="20"/>
        </w:rPr>
        <w:t xml:space="preserve"> MP, et al. A PGC1-α-dependent myokine that drives brown-fat-like development of white fat and thermogenesis. Nature. 2012;481(7382):463–468.</w:t>
      </w:r>
    </w:p>
    <w:p w14:paraId="42B24F23" w14:textId="77777777" w:rsidR="00000000" w:rsidRPr="00B21AA4" w:rsidRDefault="00000000" w:rsidP="00B21AA4">
      <w:pPr>
        <w:rPr>
          <w:rFonts w:ascii="Arial" w:hAnsi="Arial" w:cs="Arial"/>
          <w:sz w:val="20"/>
          <w:szCs w:val="20"/>
        </w:rPr>
      </w:pPr>
      <w:proofErr w:type="spellStart"/>
      <w:r w:rsidRPr="00B21AA4">
        <w:rPr>
          <w:rFonts w:ascii="Arial" w:hAnsi="Arial" w:cs="Arial"/>
          <w:sz w:val="20"/>
          <w:szCs w:val="20"/>
        </w:rPr>
        <w:t>Camastra</w:t>
      </w:r>
      <w:proofErr w:type="spellEnd"/>
      <w:r w:rsidRPr="00B21AA4">
        <w:rPr>
          <w:rFonts w:ascii="Arial" w:hAnsi="Arial" w:cs="Arial"/>
          <w:sz w:val="20"/>
          <w:szCs w:val="20"/>
        </w:rPr>
        <w:t xml:space="preserve"> S, </w:t>
      </w:r>
      <w:proofErr w:type="spellStart"/>
      <w:r w:rsidRPr="00B21AA4">
        <w:rPr>
          <w:rFonts w:ascii="Arial" w:hAnsi="Arial" w:cs="Arial"/>
          <w:sz w:val="20"/>
          <w:szCs w:val="20"/>
        </w:rPr>
        <w:t>Gastaldelli</w:t>
      </w:r>
      <w:proofErr w:type="spellEnd"/>
      <w:r w:rsidRPr="00B21AA4">
        <w:rPr>
          <w:rFonts w:ascii="Arial" w:hAnsi="Arial" w:cs="Arial"/>
          <w:sz w:val="20"/>
          <w:szCs w:val="20"/>
        </w:rPr>
        <w:t xml:space="preserve"> A, Mari A, et al. Early and </w:t>
      </w:r>
      <w:proofErr w:type="gramStart"/>
      <w:r w:rsidRPr="00B21AA4">
        <w:rPr>
          <w:rFonts w:ascii="Arial" w:hAnsi="Arial" w:cs="Arial"/>
          <w:sz w:val="20"/>
          <w:szCs w:val="20"/>
        </w:rPr>
        <w:t>longer term</w:t>
      </w:r>
      <w:proofErr w:type="gramEnd"/>
      <w:r w:rsidRPr="00B21AA4">
        <w:rPr>
          <w:rFonts w:ascii="Arial" w:hAnsi="Arial" w:cs="Arial"/>
          <w:sz w:val="20"/>
          <w:szCs w:val="20"/>
        </w:rPr>
        <w:t xml:space="preserve"> effects of gastric bypass surgery on tissue-specific insulin sensitivity and beta cell function in morbidly obese patients with and without type 2 diabetes. </w:t>
      </w:r>
      <w:proofErr w:type="spellStart"/>
      <w:r w:rsidRPr="00B21AA4">
        <w:rPr>
          <w:rFonts w:ascii="Arial" w:hAnsi="Arial" w:cs="Arial"/>
          <w:sz w:val="20"/>
          <w:szCs w:val="20"/>
        </w:rPr>
        <w:t>Diabetologia</w:t>
      </w:r>
      <w:proofErr w:type="spellEnd"/>
      <w:r w:rsidRPr="00B21AA4">
        <w:rPr>
          <w:rFonts w:ascii="Arial" w:hAnsi="Arial" w:cs="Arial"/>
          <w:sz w:val="20"/>
          <w:szCs w:val="20"/>
        </w:rPr>
        <w:t>. 2011;54(8):2093–2102.</w:t>
      </w:r>
    </w:p>
    <w:p w14:paraId="4D92D931" w14:textId="77777777" w:rsidR="00000000" w:rsidRPr="00B21AA4" w:rsidRDefault="00000000" w:rsidP="00B21AA4">
      <w:pPr>
        <w:rPr>
          <w:rFonts w:ascii="Arial" w:hAnsi="Arial" w:cs="Arial"/>
          <w:sz w:val="20"/>
          <w:szCs w:val="20"/>
        </w:rPr>
      </w:pPr>
      <w:r w:rsidRPr="00B21AA4">
        <w:rPr>
          <w:rFonts w:ascii="Arial" w:hAnsi="Arial" w:cs="Arial"/>
          <w:sz w:val="20"/>
          <w:szCs w:val="20"/>
        </w:rPr>
        <w:t>Cani PD, Knauf C. How gut microbes talk to organs: The role of endocrine and nervous routes. Cell. 2016;167(1):268.</w:t>
      </w:r>
    </w:p>
    <w:p w14:paraId="15A300B9" w14:textId="77777777" w:rsidR="00000000" w:rsidRPr="00B21AA4" w:rsidRDefault="00000000" w:rsidP="00B21AA4">
      <w:pPr>
        <w:rPr>
          <w:rFonts w:ascii="Arial" w:hAnsi="Arial" w:cs="Arial"/>
          <w:sz w:val="20"/>
          <w:szCs w:val="20"/>
        </w:rPr>
      </w:pPr>
      <w:r w:rsidRPr="00B21AA4">
        <w:rPr>
          <w:rFonts w:ascii="Arial" w:hAnsi="Arial" w:cs="Arial"/>
          <w:sz w:val="20"/>
          <w:szCs w:val="20"/>
        </w:rPr>
        <w:t>Cervenka I, Agudelo LZ, Ruas JL. Kynurenines: Tryptophan's metabolites in exercise, inflammation, and mental health. Science. 2017;357(6349):eaaf9794.</w:t>
      </w:r>
    </w:p>
    <w:p w14:paraId="295F7D78" w14:textId="77777777" w:rsidR="00000000" w:rsidRPr="00B21AA4" w:rsidRDefault="00000000" w:rsidP="00B21AA4">
      <w:pPr>
        <w:rPr>
          <w:rFonts w:ascii="Arial" w:hAnsi="Arial" w:cs="Arial"/>
          <w:sz w:val="20"/>
          <w:szCs w:val="20"/>
        </w:rPr>
      </w:pPr>
      <w:proofErr w:type="spellStart"/>
      <w:r w:rsidRPr="00B21AA4">
        <w:rPr>
          <w:rFonts w:ascii="Arial" w:hAnsi="Arial" w:cs="Arial"/>
          <w:sz w:val="20"/>
          <w:szCs w:val="20"/>
        </w:rPr>
        <w:t>Chalkiadaki</w:t>
      </w:r>
      <w:proofErr w:type="spellEnd"/>
      <w:r w:rsidRPr="00B21AA4">
        <w:rPr>
          <w:rFonts w:ascii="Arial" w:hAnsi="Arial" w:cs="Arial"/>
          <w:sz w:val="20"/>
          <w:szCs w:val="20"/>
        </w:rPr>
        <w:t xml:space="preserve"> A, Guarente L. Sirtuins mediate mammalian metabolic responses to nutrient availability. Nat Rev Mol Cell Biol. 2012;13(4):225–232.</w:t>
      </w:r>
    </w:p>
    <w:p w14:paraId="4F5D2A47"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Davids M, </w:t>
      </w:r>
      <w:proofErr w:type="spellStart"/>
      <w:r w:rsidRPr="00B21AA4">
        <w:rPr>
          <w:rFonts w:ascii="Arial" w:hAnsi="Arial" w:cs="Arial"/>
          <w:sz w:val="20"/>
          <w:szCs w:val="20"/>
        </w:rPr>
        <w:t>Ndika</w:t>
      </w:r>
      <w:proofErr w:type="spellEnd"/>
      <w:r w:rsidRPr="00B21AA4">
        <w:rPr>
          <w:rFonts w:ascii="Arial" w:hAnsi="Arial" w:cs="Arial"/>
          <w:sz w:val="20"/>
          <w:szCs w:val="20"/>
        </w:rPr>
        <w:t xml:space="preserve"> JD, Salomons GS, et al. Promiscuous activity of </w:t>
      </w:r>
      <w:proofErr w:type="spellStart"/>
      <w:r w:rsidRPr="00B21AA4">
        <w:rPr>
          <w:rFonts w:ascii="Arial" w:hAnsi="Arial" w:cs="Arial"/>
          <w:sz w:val="20"/>
          <w:szCs w:val="20"/>
        </w:rPr>
        <w:t>arginine:glycine</w:t>
      </w:r>
      <w:proofErr w:type="spellEnd"/>
      <w:r w:rsidRPr="00B21AA4">
        <w:rPr>
          <w:rFonts w:ascii="Arial" w:hAnsi="Arial" w:cs="Arial"/>
          <w:sz w:val="20"/>
          <w:szCs w:val="20"/>
        </w:rPr>
        <w:t xml:space="preserve"> </w:t>
      </w:r>
      <w:proofErr w:type="spellStart"/>
      <w:r w:rsidRPr="00B21AA4">
        <w:rPr>
          <w:rFonts w:ascii="Arial" w:hAnsi="Arial" w:cs="Arial"/>
          <w:sz w:val="20"/>
          <w:szCs w:val="20"/>
        </w:rPr>
        <w:t>amidinotransferase</w:t>
      </w:r>
      <w:proofErr w:type="spellEnd"/>
      <w:r w:rsidRPr="00B21AA4">
        <w:rPr>
          <w:rFonts w:ascii="Arial" w:hAnsi="Arial" w:cs="Arial"/>
          <w:sz w:val="20"/>
          <w:szCs w:val="20"/>
        </w:rPr>
        <w:t>: New insights into substrate and product specificity. Amino Acids. 2012;43(1):71–78.</w:t>
      </w:r>
    </w:p>
    <w:p w14:paraId="442BBCC9" w14:textId="77777777" w:rsidR="00000000" w:rsidRPr="00B21AA4" w:rsidRDefault="00000000" w:rsidP="00B21AA4">
      <w:pPr>
        <w:rPr>
          <w:rFonts w:ascii="Arial" w:hAnsi="Arial" w:cs="Arial"/>
          <w:sz w:val="20"/>
          <w:szCs w:val="20"/>
        </w:rPr>
      </w:pPr>
      <w:r w:rsidRPr="00B21AA4">
        <w:rPr>
          <w:rFonts w:ascii="Arial" w:hAnsi="Arial" w:cs="Arial"/>
          <w:sz w:val="20"/>
          <w:szCs w:val="20"/>
        </w:rPr>
        <w:t>Dixon SJ, Lemberg KM, Lamprecht MR, et al. Ferroptosis: An iron-dependent form of nonapoptotic cell death. Cell. 2012;149(5):1060–1072.</w:t>
      </w:r>
    </w:p>
    <w:p w14:paraId="5CF64070" w14:textId="77777777" w:rsidR="00000000" w:rsidRPr="00B21AA4" w:rsidRDefault="00000000" w:rsidP="00B21AA4">
      <w:pPr>
        <w:rPr>
          <w:rFonts w:ascii="Arial" w:hAnsi="Arial" w:cs="Arial"/>
          <w:sz w:val="20"/>
          <w:szCs w:val="20"/>
        </w:rPr>
      </w:pPr>
      <w:proofErr w:type="spellStart"/>
      <w:r w:rsidRPr="00B21AA4">
        <w:rPr>
          <w:rFonts w:ascii="Arial" w:hAnsi="Arial" w:cs="Arial"/>
          <w:sz w:val="20"/>
          <w:szCs w:val="20"/>
        </w:rPr>
        <w:t>Favennec</w:t>
      </w:r>
      <w:proofErr w:type="spellEnd"/>
      <w:r w:rsidRPr="00B21AA4">
        <w:rPr>
          <w:rFonts w:ascii="Arial" w:hAnsi="Arial" w:cs="Arial"/>
          <w:sz w:val="20"/>
          <w:szCs w:val="20"/>
        </w:rPr>
        <w:t xml:space="preserve"> M, </w:t>
      </w:r>
      <w:proofErr w:type="spellStart"/>
      <w:r w:rsidRPr="00B21AA4">
        <w:rPr>
          <w:rFonts w:ascii="Arial" w:hAnsi="Arial" w:cs="Arial"/>
          <w:sz w:val="20"/>
          <w:szCs w:val="20"/>
        </w:rPr>
        <w:t>Hennart</w:t>
      </w:r>
      <w:proofErr w:type="spellEnd"/>
      <w:r w:rsidRPr="00B21AA4">
        <w:rPr>
          <w:rFonts w:ascii="Arial" w:hAnsi="Arial" w:cs="Arial"/>
          <w:sz w:val="20"/>
          <w:szCs w:val="20"/>
        </w:rPr>
        <w:t xml:space="preserve"> B, Caiazzo R, et al. The kynurenine pathway is activated in human obesity and shifted toward kynurenine monooxygenase activation. Obesity (Silver Spring). 2015;23(10):2066–2074.</w:t>
      </w:r>
    </w:p>
    <w:p w14:paraId="6E12E539" w14:textId="77777777" w:rsidR="00000000" w:rsidRPr="00B21AA4" w:rsidRDefault="00000000" w:rsidP="00B21AA4">
      <w:pPr>
        <w:rPr>
          <w:rFonts w:ascii="Arial" w:hAnsi="Arial" w:cs="Arial"/>
          <w:sz w:val="20"/>
          <w:szCs w:val="20"/>
        </w:rPr>
      </w:pPr>
      <w:r w:rsidRPr="00B21AA4">
        <w:rPr>
          <w:rFonts w:ascii="Arial" w:hAnsi="Arial" w:cs="Arial"/>
          <w:sz w:val="20"/>
          <w:szCs w:val="20"/>
        </w:rPr>
        <w:t>Halberg N, Khan T, Trujillo ME, et al. Hypoxia-inducible factor 1α induces fibrosis and insulin resistance in white adipose tissue. Mol Cell Biol. 2009;29(16):4467–4483.</w:t>
      </w:r>
    </w:p>
    <w:p w14:paraId="65F0A20F"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Helm M, </w:t>
      </w:r>
      <w:proofErr w:type="spellStart"/>
      <w:r w:rsidRPr="00B21AA4">
        <w:rPr>
          <w:rFonts w:ascii="Arial" w:hAnsi="Arial" w:cs="Arial"/>
          <w:sz w:val="20"/>
          <w:szCs w:val="20"/>
        </w:rPr>
        <w:t>Motorin</w:t>
      </w:r>
      <w:proofErr w:type="spellEnd"/>
      <w:r w:rsidRPr="00B21AA4">
        <w:rPr>
          <w:rFonts w:ascii="Arial" w:hAnsi="Arial" w:cs="Arial"/>
          <w:sz w:val="20"/>
          <w:szCs w:val="20"/>
        </w:rPr>
        <w:t xml:space="preserve"> Y. Detecting RNA modifications in the </w:t>
      </w:r>
      <w:proofErr w:type="spellStart"/>
      <w:r w:rsidRPr="00B21AA4">
        <w:rPr>
          <w:rFonts w:ascii="Arial" w:hAnsi="Arial" w:cs="Arial"/>
          <w:sz w:val="20"/>
          <w:szCs w:val="20"/>
        </w:rPr>
        <w:t>epitranscriptome</w:t>
      </w:r>
      <w:proofErr w:type="spellEnd"/>
      <w:r w:rsidRPr="00B21AA4">
        <w:rPr>
          <w:rFonts w:ascii="Arial" w:hAnsi="Arial" w:cs="Arial"/>
          <w:sz w:val="20"/>
          <w:szCs w:val="20"/>
        </w:rPr>
        <w:t>: Predict and validate. Nat Rev Genet. 2017;18(5):275–291.</w:t>
      </w:r>
    </w:p>
    <w:p w14:paraId="5B85F7EF" w14:textId="77777777" w:rsidR="00000000" w:rsidRPr="00B21AA4" w:rsidRDefault="00000000" w:rsidP="00B21AA4">
      <w:pPr>
        <w:rPr>
          <w:rFonts w:ascii="Arial" w:hAnsi="Arial" w:cs="Arial"/>
          <w:sz w:val="20"/>
          <w:szCs w:val="20"/>
        </w:rPr>
      </w:pPr>
      <w:proofErr w:type="spellStart"/>
      <w:r w:rsidRPr="00B21AA4">
        <w:rPr>
          <w:rFonts w:ascii="Arial" w:hAnsi="Arial" w:cs="Arial"/>
          <w:sz w:val="20"/>
          <w:szCs w:val="20"/>
        </w:rPr>
        <w:t>Hotamisligil</w:t>
      </w:r>
      <w:proofErr w:type="spellEnd"/>
      <w:r w:rsidRPr="00B21AA4">
        <w:rPr>
          <w:rFonts w:ascii="Arial" w:hAnsi="Arial" w:cs="Arial"/>
          <w:sz w:val="20"/>
          <w:szCs w:val="20"/>
        </w:rPr>
        <w:t xml:space="preserve"> GS. Inflammation and metabolic disorders. Nature. 2006;444(7121):860–867.</w:t>
      </w:r>
    </w:p>
    <w:p w14:paraId="3D856789" w14:textId="77777777" w:rsidR="00000000" w:rsidRPr="00B21AA4" w:rsidRDefault="00000000" w:rsidP="00B21AA4">
      <w:pPr>
        <w:rPr>
          <w:rFonts w:ascii="Arial" w:hAnsi="Arial" w:cs="Arial"/>
          <w:sz w:val="20"/>
          <w:szCs w:val="20"/>
        </w:rPr>
      </w:pPr>
      <w:r w:rsidRPr="00B21AA4">
        <w:rPr>
          <w:rFonts w:ascii="Arial" w:hAnsi="Arial" w:cs="Arial"/>
          <w:sz w:val="20"/>
          <w:szCs w:val="20"/>
        </w:rPr>
        <w:lastRenderedPageBreak/>
        <w:t>Imai S, Guarente L. NAD+ and sirtuins in aging and disease. Trends Cell Biol. 2014;24(8):464–471.</w:t>
      </w:r>
    </w:p>
    <w:p w14:paraId="41E1D932" w14:textId="77777777" w:rsidR="00000000" w:rsidRPr="00B21AA4" w:rsidRDefault="00000000" w:rsidP="00B21AA4">
      <w:pPr>
        <w:rPr>
          <w:rFonts w:ascii="Arial" w:hAnsi="Arial" w:cs="Arial"/>
          <w:sz w:val="20"/>
          <w:szCs w:val="20"/>
        </w:rPr>
      </w:pPr>
      <w:r w:rsidRPr="00B21AA4">
        <w:rPr>
          <w:rFonts w:ascii="Arial" w:hAnsi="Arial" w:cs="Arial"/>
          <w:sz w:val="20"/>
          <w:szCs w:val="20"/>
        </w:rPr>
        <w:t>Jenkins TA, Nguyen JC, Polglaze KE, et al. Influence of tryptophan and serotonin on mood and cognition with a possible role of the gut-brain axis. Nutrients. 2016;8(1):56.</w:t>
      </w:r>
    </w:p>
    <w:p w14:paraId="1056389F"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Kühn H, Banthiya S, van Leyen K. Mammalian lipoxygenases and their biological relevance. </w:t>
      </w:r>
      <w:proofErr w:type="spellStart"/>
      <w:r w:rsidRPr="00B21AA4">
        <w:rPr>
          <w:rFonts w:ascii="Arial" w:hAnsi="Arial" w:cs="Arial"/>
          <w:sz w:val="20"/>
          <w:szCs w:val="20"/>
        </w:rPr>
        <w:t>Biochim</w:t>
      </w:r>
      <w:proofErr w:type="spellEnd"/>
      <w:r w:rsidRPr="00B21AA4">
        <w:rPr>
          <w:rFonts w:ascii="Arial" w:hAnsi="Arial" w:cs="Arial"/>
          <w:sz w:val="20"/>
          <w:szCs w:val="20"/>
        </w:rPr>
        <w:t xml:space="preserve"> </w:t>
      </w:r>
      <w:proofErr w:type="spellStart"/>
      <w:r w:rsidRPr="00B21AA4">
        <w:rPr>
          <w:rFonts w:ascii="Arial" w:hAnsi="Arial" w:cs="Arial"/>
          <w:sz w:val="20"/>
          <w:szCs w:val="20"/>
        </w:rPr>
        <w:t>Biophys</w:t>
      </w:r>
      <w:proofErr w:type="spellEnd"/>
      <w:r w:rsidRPr="00B21AA4">
        <w:rPr>
          <w:rFonts w:ascii="Arial" w:hAnsi="Arial" w:cs="Arial"/>
          <w:sz w:val="20"/>
          <w:szCs w:val="20"/>
        </w:rPr>
        <w:t xml:space="preserve"> Acta Mol Cell Biol Lipids. 2015;1851(4):308–330.</w:t>
      </w:r>
    </w:p>
    <w:p w14:paraId="56C6DCFD" w14:textId="77777777" w:rsidR="00000000" w:rsidRPr="00B21AA4" w:rsidRDefault="00000000" w:rsidP="00B21AA4">
      <w:pPr>
        <w:rPr>
          <w:rFonts w:ascii="Arial" w:hAnsi="Arial" w:cs="Arial"/>
          <w:sz w:val="20"/>
          <w:szCs w:val="20"/>
        </w:rPr>
      </w:pPr>
      <w:proofErr w:type="spellStart"/>
      <w:r w:rsidRPr="00B21AA4">
        <w:rPr>
          <w:rFonts w:ascii="Arial" w:hAnsi="Arial" w:cs="Arial"/>
          <w:sz w:val="20"/>
          <w:szCs w:val="20"/>
        </w:rPr>
        <w:t>Laferrère</w:t>
      </w:r>
      <w:proofErr w:type="spellEnd"/>
      <w:r w:rsidRPr="00B21AA4">
        <w:rPr>
          <w:rFonts w:ascii="Arial" w:hAnsi="Arial" w:cs="Arial"/>
          <w:sz w:val="20"/>
          <w:szCs w:val="20"/>
        </w:rPr>
        <w:t xml:space="preserve"> B, Teixeira J, McGinty J, et al. Effect of weight loss by gastric bypass surgery versus hypocaloric diet on glucose and incretin levels in patients with type 2 diabetes. J Clin Endocrinol </w:t>
      </w:r>
      <w:proofErr w:type="spellStart"/>
      <w:r w:rsidRPr="00B21AA4">
        <w:rPr>
          <w:rFonts w:ascii="Arial" w:hAnsi="Arial" w:cs="Arial"/>
          <w:sz w:val="20"/>
          <w:szCs w:val="20"/>
        </w:rPr>
        <w:t>Metab</w:t>
      </w:r>
      <w:proofErr w:type="spellEnd"/>
      <w:r w:rsidRPr="00B21AA4">
        <w:rPr>
          <w:rFonts w:ascii="Arial" w:hAnsi="Arial" w:cs="Arial"/>
          <w:sz w:val="20"/>
          <w:szCs w:val="20"/>
        </w:rPr>
        <w:t>. 2008;93(7):2479–2485.</w:t>
      </w:r>
    </w:p>
    <w:p w14:paraId="2618BCB7"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le Roux CW, Aylwin SJ, </w:t>
      </w:r>
      <w:proofErr w:type="spellStart"/>
      <w:r w:rsidRPr="00B21AA4">
        <w:rPr>
          <w:rFonts w:ascii="Arial" w:hAnsi="Arial" w:cs="Arial"/>
          <w:sz w:val="20"/>
          <w:szCs w:val="20"/>
        </w:rPr>
        <w:t>Batterham</w:t>
      </w:r>
      <w:proofErr w:type="spellEnd"/>
      <w:r w:rsidRPr="00B21AA4">
        <w:rPr>
          <w:rFonts w:ascii="Arial" w:hAnsi="Arial" w:cs="Arial"/>
          <w:sz w:val="20"/>
          <w:szCs w:val="20"/>
        </w:rPr>
        <w:t xml:space="preserve"> RL, et al. Gut hormone profiles following bariatric surgery favor an anorectic state, facilitate weight loss, and improve metabolic parameters. Ann Surg. 2006;243(1):108–114.</w:t>
      </w:r>
    </w:p>
    <w:p w14:paraId="1E0C740D"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Lim EL, Hollingsworth KG, Aribisala BS, et al. Reversal of type 2 diabetes: </w:t>
      </w:r>
      <w:proofErr w:type="spellStart"/>
      <w:r w:rsidRPr="00B21AA4">
        <w:rPr>
          <w:rFonts w:ascii="Arial" w:hAnsi="Arial" w:cs="Arial"/>
          <w:sz w:val="20"/>
          <w:szCs w:val="20"/>
        </w:rPr>
        <w:t>Normalisation</w:t>
      </w:r>
      <w:proofErr w:type="spellEnd"/>
      <w:r w:rsidRPr="00B21AA4">
        <w:rPr>
          <w:rFonts w:ascii="Arial" w:hAnsi="Arial" w:cs="Arial"/>
          <w:sz w:val="20"/>
          <w:szCs w:val="20"/>
        </w:rPr>
        <w:t xml:space="preserve"> of beta cell function in association with decreased pancreas and liver triacylglycerol. </w:t>
      </w:r>
      <w:proofErr w:type="spellStart"/>
      <w:r w:rsidRPr="00B21AA4">
        <w:rPr>
          <w:rFonts w:ascii="Arial" w:hAnsi="Arial" w:cs="Arial"/>
          <w:sz w:val="20"/>
          <w:szCs w:val="20"/>
        </w:rPr>
        <w:t>Diabetologia</w:t>
      </w:r>
      <w:proofErr w:type="spellEnd"/>
      <w:r w:rsidRPr="00B21AA4">
        <w:rPr>
          <w:rFonts w:ascii="Arial" w:hAnsi="Arial" w:cs="Arial"/>
          <w:sz w:val="20"/>
          <w:szCs w:val="20"/>
        </w:rPr>
        <w:t>. 2011;54(10):2506–2514.</w:t>
      </w:r>
    </w:p>
    <w:p w14:paraId="5ECCD9B5"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Liou AP, </w:t>
      </w:r>
      <w:proofErr w:type="spellStart"/>
      <w:r w:rsidRPr="00B21AA4">
        <w:rPr>
          <w:rFonts w:ascii="Arial" w:hAnsi="Arial" w:cs="Arial"/>
          <w:sz w:val="20"/>
          <w:szCs w:val="20"/>
        </w:rPr>
        <w:t>Paziuk</w:t>
      </w:r>
      <w:proofErr w:type="spellEnd"/>
      <w:r w:rsidRPr="00B21AA4">
        <w:rPr>
          <w:rFonts w:ascii="Arial" w:hAnsi="Arial" w:cs="Arial"/>
          <w:sz w:val="20"/>
          <w:szCs w:val="20"/>
        </w:rPr>
        <w:t xml:space="preserve"> M, Luevano JM Jr, et al. Conserved shifts in the gut microbiota due to gastric bypass reduce host weight and adiposity. Sci </w:t>
      </w:r>
      <w:proofErr w:type="spellStart"/>
      <w:r w:rsidRPr="00B21AA4">
        <w:rPr>
          <w:rFonts w:ascii="Arial" w:hAnsi="Arial" w:cs="Arial"/>
          <w:sz w:val="20"/>
          <w:szCs w:val="20"/>
        </w:rPr>
        <w:t>Transl</w:t>
      </w:r>
      <w:proofErr w:type="spellEnd"/>
      <w:r w:rsidRPr="00B21AA4">
        <w:rPr>
          <w:rFonts w:ascii="Arial" w:hAnsi="Arial" w:cs="Arial"/>
          <w:sz w:val="20"/>
          <w:szCs w:val="20"/>
        </w:rPr>
        <w:t xml:space="preserve"> Med. 2013;5(178):178ra41.</w:t>
      </w:r>
    </w:p>
    <w:p w14:paraId="73C8DD6D" w14:textId="77777777" w:rsidR="00000000" w:rsidRPr="00B21AA4" w:rsidRDefault="00000000" w:rsidP="00B21AA4">
      <w:pPr>
        <w:rPr>
          <w:rFonts w:ascii="Arial" w:hAnsi="Arial" w:cs="Arial"/>
          <w:sz w:val="20"/>
          <w:szCs w:val="20"/>
        </w:rPr>
      </w:pPr>
      <w:r w:rsidRPr="00B21AA4">
        <w:rPr>
          <w:rFonts w:ascii="Arial" w:hAnsi="Arial" w:cs="Arial"/>
          <w:sz w:val="20"/>
          <w:szCs w:val="20"/>
        </w:rPr>
        <w:t>Madsbad S, Dirksen C, Holst JJ. Mechanisms of changes in glucose metabolism and bodyweight after bariatric surgery. Lancet Diabetes Endocrinol. 2014;2(2):152–164.</w:t>
      </w:r>
    </w:p>
    <w:p w14:paraId="7BE39548"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McGarry JD, Brown NF. The mitochondrial carnitine </w:t>
      </w:r>
      <w:proofErr w:type="spellStart"/>
      <w:r w:rsidRPr="00B21AA4">
        <w:rPr>
          <w:rFonts w:ascii="Arial" w:hAnsi="Arial" w:cs="Arial"/>
          <w:sz w:val="20"/>
          <w:szCs w:val="20"/>
        </w:rPr>
        <w:t>palmitoyltransferase</w:t>
      </w:r>
      <w:proofErr w:type="spellEnd"/>
      <w:r w:rsidRPr="00B21AA4">
        <w:rPr>
          <w:rFonts w:ascii="Arial" w:hAnsi="Arial" w:cs="Arial"/>
          <w:sz w:val="20"/>
          <w:szCs w:val="20"/>
        </w:rPr>
        <w:t xml:space="preserve"> system. From concept to molecular analysis. </w:t>
      </w:r>
      <w:proofErr w:type="spellStart"/>
      <w:r w:rsidRPr="00B21AA4">
        <w:rPr>
          <w:rFonts w:ascii="Arial" w:hAnsi="Arial" w:cs="Arial"/>
          <w:sz w:val="20"/>
          <w:szCs w:val="20"/>
        </w:rPr>
        <w:t>Eur</w:t>
      </w:r>
      <w:proofErr w:type="spellEnd"/>
      <w:r w:rsidRPr="00B21AA4">
        <w:rPr>
          <w:rFonts w:ascii="Arial" w:hAnsi="Arial" w:cs="Arial"/>
          <w:sz w:val="20"/>
          <w:szCs w:val="20"/>
        </w:rPr>
        <w:t xml:space="preserve"> J </w:t>
      </w:r>
      <w:proofErr w:type="spellStart"/>
      <w:r w:rsidRPr="00B21AA4">
        <w:rPr>
          <w:rFonts w:ascii="Arial" w:hAnsi="Arial" w:cs="Arial"/>
          <w:sz w:val="20"/>
          <w:szCs w:val="20"/>
        </w:rPr>
        <w:t>Biochem</w:t>
      </w:r>
      <w:proofErr w:type="spellEnd"/>
      <w:r w:rsidRPr="00B21AA4">
        <w:rPr>
          <w:rFonts w:ascii="Arial" w:hAnsi="Arial" w:cs="Arial"/>
          <w:sz w:val="20"/>
          <w:szCs w:val="20"/>
        </w:rPr>
        <w:t>. 1997;244(1):1–14.</w:t>
      </w:r>
    </w:p>
    <w:p w14:paraId="64E2E091" w14:textId="77777777" w:rsidR="00000000" w:rsidRPr="00B21AA4" w:rsidRDefault="00000000" w:rsidP="00B21AA4">
      <w:pPr>
        <w:rPr>
          <w:rFonts w:ascii="Arial" w:hAnsi="Arial" w:cs="Arial"/>
          <w:sz w:val="20"/>
          <w:szCs w:val="20"/>
        </w:rPr>
      </w:pPr>
      <w:proofErr w:type="spellStart"/>
      <w:r w:rsidRPr="00B21AA4">
        <w:rPr>
          <w:rFonts w:ascii="Arial" w:hAnsi="Arial" w:cs="Arial"/>
          <w:sz w:val="20"/>
          <w:szCs w:val="20"/>
        </w:rPr>
        <w:t>Oxenkrug</w:t>
      </w:r>
      <w:proofErr w:type="spellEnd"/>
      <w:r w:rsidRPr="00B21AA4">
        <w:rPr>
          <w:rFonts w:ascii="Arial" w:hAnsi="Arial" w:cs="Arial"/>
          <w:sz w:val="20"/>
          <w:szCs w:val="20"/>
        </w:rPr>
        <w:t xml:space="preserve"> GF. Metabolic syndrome, age-associated neuroendocrine disorders, and dysregulation of tryptophan–kynurenine metabolism. Ann N Y Acad Sci. 2010;1199:1–14.</w:t>
      </w:r>
    </w:p>
    <w:p w14:paraId="6ECE0CCA" w14:textId="77777777" w:rsidR="00000000" w:rsidRPr="00B21AA4" w:rsidRDefault="00000000" w:rsidP="00B21AA4">
      <w:pPr>
        <w:rPr>
          <w:rFonts w:ascii="Arial" w:hAnsi="Arial" w:cs="Arial"/>
          <w:sz w:val="20"/>
          <w:szCs w:val="20"/>
        </w:rPr>
      </w:pPr>
      <w:r w:rsidRPr="00B21AA4">
        <w:rPr>
          <w:rFonts w:ascii="Arial" w:hAnsi="Arial" w:cs="Arial"/>
          <w:sz w:val="20"/>
          <w:szCs w:val="20"/>
        </w:rPr>
        <w:t>Patti ME, Houten SM, Bianco AC, et al. Serum bile acids are higher in humans with prior gastric bypass: Potential contribution to improved glucose and lipid metabolism. Obesity (Silver Spring). 2009;17(9):1671–1677.</w:t>
      </w:r>
    </w:p>
    <w:p w14:paraId="71CD93B8"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Penney NC, Kinross J, Newton RC, et al. The role of bile acids in reducing the metabolic complications of obesity after bariatric surgery: A systematic review. Int J </w:t>
      </w:r>
      <w:proofErr w:type="spellStart"/>
      <w:r w:rsidRPr="00B21AA4">
        <w:rPr>
          <w:rFonts w:ascii="Arial" w:hAnsi="Arial" w:cs="Arial"/>
          <w:sz w:val="20"/>
          <w:szCs w:val="20"/>
        </w:rPr>
        <w:t>Obes</w:t>
      </w:r>
      <w:proofErr w:type="spellEnd"/>
      <w:r w:rsidRPr="00B21AA4">
        <w:rPr>
          <w:rFonts w:ascii="Arial" w:hAnsi="Arial" w:cs="Arial"/>
          <w:sz w:val="20"/>
          <w:szCs w:val="20"/>
        </w:rPr>
        <w:t xml:space="preserve"> (Lond). 2015;39(11):1565–1574.</w:t>
      </w:r>
    </w:p>
    <w:p w14:paraId="76A90116"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Phang JM. Proline metabolism in cell regulation and cancer biology: Recent advances and hypotheses. </w:t>
      </w:r>
      <w:proofErr w:type="spellStart"/>
      <w:r w:rsidRPr="00B21AA4">
        <w:rPr>
          <w:rFonts w:ascii="Arial" w:hAnsi="Arial" w:cs="Arial"/>
          <w:sz w:val="20"/>
          <w:szCs w:val="20"/>
        </w:rPr>
        <w:t>Antioxid</w:t>
      </w:r>
      <w:proofErr w:type="spellEnd"/>
      <w:r w:rsidRPr="00B21AA4">
        <w:rPr>
          <w:rFonts w:ascii="Arial" w:hAnsi="Arial" w:cs="Arial"/>
          <w:sz w:val="20"/>
          <w:szCs w:val="20"/>
        </w:rPr>
        <w:t xml:space="preserve"> Redox Signal. 2019;30(4):635–649.</w:t>
      </w:r>
    </w:p>
    <w:p w14:paraId="4C9BA3F3"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Pilz S, </w:t>
      </w:r>
      <w:proofErr w:type="spellStart"/>
      <w:r w:rsidRPr="00B21AA4">
        <w:rPr>
          <w:rFonts w:ascii="Arial" w:hAnsi="Arial" w:cs="Arial"/>
          <w:sz w:val="20"/>
          <w:szCs w:val="20"/>
        </w:rPr>
        <w:t>Meinitzer</w:t>
      </w:r>
      <w:proofErr w:type="spellEnd"/>
      <w:r w:rsidRPr="00B21AA4">
        <w:rPr>
          <w:rFonts w:ascii="Arial" w:hAnsi="Arial" w:cs="Arial"/>
          <w:sz w:val="20"/>
          <w:szCs w:val="20"/>
        </w:rPr>
        <w:t xml:space="preserve"> A, Drechsler C, et al. Low homoarginine concentration is a novel risk factor for heart disease. Heart. 2011;97(15):1222–1227.</w:t>
      </w:r>
    </w:p>
    <w:p w14:paraId="09ED7DF8"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Roberts MD, Gilpin L, Parker KB, et al. Creatine supplementation does not affect the metabolic response to a ramp lactate test. J Strength Cond Res. 2014;28(1):29–37. [Note: For BAIBA-specific myokine function, see also: </w:t>
      </w:r>
      <w:proofErr w:type="spellStart"/>
      <w:r w:rsidRPr="00B21AA4">
        <w:rPr>
          <w:rFonts w:ascii="Arial" w:hAnsi="Arial" w:cs="Arial"/>
          <w:sz w:val="20"/>
          <w:szCs w:val="20"/>
        </w:rPr>
        <w:t>Tanianskii</w:t>
      </w:r>
      <w:proofErr w:type="spellEnd"/>
      <w:r w:rsidRPr="00B21AA4">
        <w:rPr>
          <w:rFonts w:ascii="Arial" w:hAnsi="Arial" w:cs="Arial"/>
          <w:sz w:val="20"/>
          <w:szCs w:val="20"/>
        </w:rPr>
        <w:t xml:space="preserve"> DA et al. Beta-</w:t>
      </w:r>
      <w:proofErr w:type="spellStart"/>
      <w:r w:rsidRPr="00B21AA4">
        <w:rPr>
          <w:rFonts w:ascii="Arial" w:hAnsi="Arial" w:cs="Arial"/>
          <w:sz w:val="20"/>
          <w:szCs w:val="20"/>
        </w:rPr>
        <w:t>aminoisobutyric</w:t>
      </w:r>
      <w:proofErr w:type="spellEnd"/>
      <w:r w:rsidRPr="00B21AA4">
        <w:rPr>
          <w:rFonts w:ascii="Arial" w:hAnsi="Arial" w:cs="Arial"/>
          <w:sz w:val="20"/>
          <w:szCs w:val="20"/>
        </w:rPr>
        <w:t xml:space="preserve"> acid as a novel regulator of carbohydrate and lipid metabolism. Nutrients. 2019;11(3):524.]</w:t>
      </w:r>
    </w:p>
    <w:p w14:paraId="77063AA7" w14:textId="77777777" w:rsidR="00000000" w:rsidRPr="00B21AA4" w:rsidRDefault="00000000" w:rsidP="00B21AA4">
      <w:pPr>
        <w:rPr>
          <w:rFonts w:ascii="Arial" w:hAnsi="Arial" w:cs="Arial"/>
          <w:sz w:val="20"/>
          <w:szCs w:val="20"/>
        </w:rPr>
      </w:pPr>
      <w:r w:rsidRPr="00B21AA4">
        <w:rPr>
          <w:rFonts w:ascii="Arial" w:hAnsi="Arial" w:cs="Arial"/>
          <w:sz w:val="20"/>
          <w:szCs w:val="20"/>
        </w:rPr>
        <w:t>Rubino F, Nathan DM, Eckel RH, et al. Metabolic surgery in the treatment algorithm for type 2 diabetes: A joint statement by international diabetes organizations. Diabetes Care. 2016;39(6):861–877.</w:t>
      </w:r>
    </w:p>
    <w:p w14:paraId="45051546" w14:textId="77777777" w:rsidR="00000000" w:rsidRPr="00B21AA4" w:rsidRDefault="00000000" w:rsidP="00B21AA4">
      <w:pPr>
        <w:rPr>
          <w:rFonts w:ascii="Arial" w:hAnsi="Arial" w:cs="Arial"/>
          <w:sz w:val="20"/>
          <w:szCs w:val="20"/>
        </w:rPr>
      </w:pPr>
      <w:proofErr w:type="spellStart"/>
      <w:r w:rsidRPr="00B21AA4">
        <w:rPr>
          <w:rFonts w:ascii="Arial" w:hAnsi="Arial" w:cs="Arial"/>
          <w:sz w:val="20"/>
          <w:szCs w:val="20"/>
        </w:rPr>
        <w:t>Scalbert</w:t>
      </w:r>
      <w:proofErr w:type="spellEnd"/>
      <w:r w:rsidRPr="00B21AA4">
        <w:rPr>
          <w:rFonts w:ascii="Arial" w:hAnsi="Arial" w:cs="Arial"/>
          <w:sz w:val="20"/>
          <w:szCs w:val="20"/>
        </w:rPr>
        <w:t xml:space="preserve"> A, Brennan L, </w:t>
      </w:r>
      <w:proofErr w:type="spellStart"/>
      <w:r w:rsidRPr="00B21AA4">
        <w:rPr>
          <w:rFonts w:ascii="Arial" w:hAnsi="Arial" w:cs="Arial"/>
          <w:sz w:val="20"/>
          <w:szCs w:val="20"/>
        </w:rPr>
        <w:t>Manach</w:t>
      </w:r>
      <w:proofErr w:type="spellEnd"/>
      <w:r w:rsidRPr="00B21AA4">
        <w:rPr>
          <w:rFonts w:ascii="Arial" w:hAnsi="Arial" w:cs="Arial"/>
          <w:sz w:val="20"/>
          <w:szCs w:val="20"/>
        </w:rPr>
        <w:t xml:space="preserve"> C, et al. The food metabolome: A window over dietary exposure. Am J Clin Nutr. 2014;99(6):1286–1308.</w:t>
      </w:r>
    </w:p>
    <w:p w14:paraId="6F0DFAF7" w14:textId="77777777" w:rsidR="00000000" w:rsidRPr="00B21AA4" w:rsidRDefault="00000000" w:rsidP="00B21AA4">
      <w:pPr>
        <w:rPr>
          <w:rFonts w:ascii="Arial" w:hAnsi="Arial" w:cs="Arial"/>
          <w:sz w:val="20"/>
          <w:szCs w:val="20"/>
        </w:rPr>
      </w:pPr>
      <w:r w:rsidRPr="00B21AA4">
        <w:rPr>
          <w:rFonts w:ascii="Arial" w:hAnsi="Arial" w:cs="Arial"/>
          <w:sz w:val="20"/>
          <w:szCs w:val="20"/>
        </w:rPr>
        <w:lastRenderedPageBreak/>
        <w:t>Schnyder S, Handschin C. Skeletal muscle as an endocrine organ: PGC-1α, myokines and exercise. Bone. 2015;80:115–125.</w:t>
      </w:r>
    </w:p>
    <w:p w14:paraId="0661BC16"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Seoane-Collazo P, Fernø J, Gonzalez F, et al. Hypothalamic-autonomic control of energy homeostasis. Endocrine. 2015;50(2):276–291. [See also: Seoane-Collazo P et al. Nat </w:t>
      </w:r>
      <w:proofErr w:type="spellStart"/>
      <w:r w:rsidRPr="00B21AA4">
        <w:rPr>
          <w:rFonts w:ascii="Arial" w:hAnsi="Arial" w:cs="Arial"/>
          <w:sz w:val="20"/>
          <w:szCs w:val="20"/>
        </w:rPr>
        <w:t>Metab</w:t>
      </w:r>
      <w:proofErr w:type="spellEnd"/>
      <w:r w:rsidRPr="00B21AA4">
        <w:rPr>
          <w:rFonts w:ascii="Arial" w:hAnsi="Arial" w:cs="Arial"/>
          <w:sz w:val="20"/>
          <w:szCs w:val="20"/>
        </w:rPr>
        <w:t xml:space="preserve"> 2020 for malonyl-CoA hypothalamic axis.]</w:t>
      </w:r>
    </w:p>
    <w:p w14:paraId="6E79501C"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Stanislawski MA, </w:t>
      </w:r>
      <w:proofErr w:type="spellStart"/>
      <w:r w:rsidRPr="00B21AA4">
        <w:rPr>
          <w:rFonts w:ascii="Arial" w:hAnsi="Arial" w:cs="Arial"/>
          <w:sz w:val="20"/>
          <w:szCs w:val="20"/>
        </w:rPr>
        <w:t>Dabelea</w:t>
      </w:r>
      <w:proofErr w:type="spellEnd"/>
      <w:r w:rsidRPr="00B21AA4">
        <w:rPr>
          <w:rFonts w:ascii="Arial" w:hAnsi="Arial" w:cs="Arial"/>
          <w:sz w:val="20"/>
          <w:szCs w:val="20"/>
        </w:rPr>
        <w:t xml:space="preserve"> D, Wagner BD, et al. </w:t>
      </w:r>
      <w:proofErr w:type="gramStart"/>
      <w:r w:rsidRPr="00B21AA4">
        <w:rPr>
          <w:rFonts w:ascii="Arial" w:hAnsi="Arial" w:cs="Arial"/>
          <w:sz w:val="20"/>
          <w:szCs w:val="20"/>
        </w:rPr>
        <w:t>Pre-surgical</w:t>
      </w:r>
      <w:proofErr w:type="gramEnd"/>
      <w:r w:rsidRPr="00B21AA4">
        <w:rPr>
          <w:rFonts w:ascii="Arial" w:hAnsi="Arial" w:cs="Arial"/>
          <w:sz w:val="20"/>
          <w:szCs w:val="20"/>
        </w:rPr>
        <w:t xml:space="preserve"> gut microbiota and postoperative changes in body weight, appetite, and energy intake after Roux-en-Y gastric bypass surgery. </w:t>
      </w:r>
      <w:proofErr w:type="spellStart"/>
      <w:r w:rsidRPr="00B21AA4">
        <w:rPr>
          <w:rFonts w:ascii="Arial" w:hAnsi="Arial" w:cs="Arial"/>
          <w:sz w:val="20"/>
          <w:szCs w:val="20"/>
        </w:rPr>
        <w:t>npj</w:t>
      </w:r>
      <w:proofErr w:type="spellEnd"/>
      <w:r w:rsidRPr="00B21AA4">
        <w:rPr>
          <w:rFonts w:ascii="Arial" w:hAnsi="Arial" w:cs="Arial"/>
          <w:sz w:val="20"/>
          <w:szCs w:val="20"/>
        </w:rPr>
        <w:t xml:space="preserve"> Biofilms Microbiomes. 2019;5(1):32.</w:t>
      </w:r>
    </w:p>
    <w:p w14:paraId="3F03443F"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Sun K, </w:t>
      </w:r>
      <w:proofErr w:type="spellStart"/>
      <w:r w:rsidRPr="00B21AA4">
        <w:rPr>
          <w:rFonts w:ascii="Arial" w:hAnsi="Arial" w:cs="Arial"/>
          <w:sz w:val="20"/>
          <w:szCs w:val="20"/>
        </w:rPr>
        <w:t>Kusminski</w:t>
      </w:r>
      <w:proofErr w:type="spellEnd"/>
      <w:r w:rsidRPr="00B21AA4">
        <w:rPr>
          <w:rFonts w:ascii="Arial" w:hAnsi="Arial" w:cs="Arial"/>
          <w:sz w:val="20"/>
          <w:szCs w:val="20"/>
        </w:rPr>
        <w:t xml:space="preserve"> CM, Scherer PE. Adipose tissue remodeling and obesity. J Clin Invest. 2011;121(6):2094–2101.</w:t>
      </w:r>
    </w:p>
    <w:p w14:paraId="7B5E0B4F" w14:textId="77777777" w:rsidR="00000000" w:rsidRPr="00B21AA4" w:rsidRDefault="00000000" w:rsidP="00B21AA4">
      <w:pPr>
        <w:rPr>
          <w:rFonts w:ascii="Arial" w:hAnsi="Arial" w:cs="Arial"/>
          <w:sz w:val="20"/>
          <w:szCs w:val="20"/>
        </w:rPr>
      </w:pPr>
      <w:r w:rsidRPr="00B21AA4">
        <w:rPr>
          <w:rFonts w:ascii="Arial" w:hAnsi="Arial" w:cs="Arial"/>
          <w:sz w:val="20"/>
          <w:szCs w:val="20"/>
        </w:rPr>
        <w:t>Svane MS, Bojsen-Møller KN, Martinussen C, et al. Postprandial nutrient handling and gastrointestinal hormone secretion after Roux-en-Y gastric bypass vs sleeve gastrectomy. Gastroenterology. 2019;156(6):1627–1641.</w:t>
      </w:r>
    </w:p>
    <w:p w14:paraId="61E4E183"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Thomas C, Gioiello A, Noriega L, et al. TGR5-mediated bile acid sensing controls glucose homeostasis. Cell </w:t>
      </w:r>
      <w:proofErr w:type="spellStart"/>
      <w:r w:rsidRPr="00B21AA4">
        <w:rPr>
          <w:rFonts w:ascii="Arial" w:hAnsi="Arial" w:cs="Arial"/>
          <w:sz w:val="20"/>
          <w:szCs w:val="20"/>
        </w:rPr>
        <w:t>Metab</w:t>
      </w:r>
      <w:proofErr w:type="spellEnd"/>
      <w:r w:rsidRPr="00B21AA4">
        <w:rPr>
          <w:rFonts w:ascii="Arial" w:hAnsi="Arial" w:cs="Arial"/>
          <w:sz w:val="20"/>
          <w:szCs w:val="20"/>
        </w:rPr>
        <w:t>. 2009;10(3):167–177.</w:t>
      </w:r>
    </w:p>
    <w:p w14:paraId="24AC5C8C" w14:textId="77777777" w:rsidR="00000000" w:rsidRPr="00B21AA4" w:rsidRDefault="00000000" w:rsidP="00B21AA4">
      <w:pPr>
        <w:rPr>
          <w:rFonts w:ascii="Arial" w:hAnsi="Arial" w:cs="Arial"/>
          <w:sz w:val="20"/>
          <w:szCs w:val="20"/>
        </w:rPr>
      </w:pPr>
      <w:proofErr w:type="spellStart"/>
      <w:r w:rsidRPr="00B21AA4">
        <w:rPr>
          <w:rFonts w:ascii="Arial" w:hAnsi="Arial" w:cs="Arial"/>
          <w:sz w:val="20"/>
          <w:szCs w:val="20"/>
        </w:rPr>
        <w:t>Tomaschitz</w:t>
      </w:r>
      <w:proofErr w:type="spellEnd"/>
      <w:r w:rsidRPr="00B21AA4">
        <w:rPr>
          <w:rFonts w:ascii="Arial" w:hAnsi="Arial" w:cs="Arial"/>
          <w:sz w:val="20"/>
          <w:szCs w:val="20"/>
        </w:rPr>
        <w:t xml:space="preserve"> A, </w:t>
      </w:r>
      <w:proofErr w:type="spellStart"/>
      <w:r w:rsidRPr="00B21AA4">
        <w:rPr>
          <w:rFonts w:ascii="Arial" w:hAnsi="Arial" w:cs="Arial"/>
          <w:sz w:val="20"/>
          <w:szCs w:val="20"/>
        </w:rPr>
        <w:t>Meinitzer</w:t>
      </w:r>
      <w:proofErr w:type="spellEnd"/>
      <w:r w:rsidRPr="00B21AA4">
        <w:rPr>
          <w:rFonts w:ascii="Arial" w:hAnsi="Arial" w:cs="Arial"/>
          <w:sz w:val="20"/>
          <w:szCs w:val="20"/>
        </w:rPr>
        <w:t xml:space="preserve"> A, Pilz S, et al. Homoarginine — an independent marker of cardiovascular mortality: The Ludwigshafen Risk and Cardiovascular Health (LURIC) study. Atherosclerosis. 2014;234(1):1–8.</w:t>
      </w:r>
    </w:p>
    <w:p w14:paraId="0367274D" w14:textId="77777777" w:rsidR="00000000" w:rsidRPr="00B21AA4" w:rsidRDefault="00000000" w:rsidP="00B21AA4">
      <w:pPr>
        <w:rPr>
          <w:rFonts w:ascii="Arial" w:hAnsi="Arial" w:cs="Arial"/>
          <w:sz w:val="20"/>
          <w:szCs w:val="20"/>
        </w:rPr>
      </w:pPr>
      <w:r w:rsidRPr="00B21AA4">
        <w:rPr>
          <w:rFonts w:ascii="Arial" w:hAnsi="Arial" w:cs="Arial"/>
          <w:sz w:val="20"/>
          <w:szCs w:val="20"/>
        </w:rPr>
        <w:t>Trauner M, Claudel T, Fickert P, et al. Bile acids as regulators of hepatic lipid and glucose metabolism. Dig Dis. 2010;28(1):220–224.</w:t>
      </w:r>
    </w:p>
    <w:p w14:paraId="275B708B" w14:textId="77777777" w:rsidR="00000000" w:rsidRPr="00B21AA4" w:rsidRDefault="00000000" w:rsidP="00B21AA4">
      <w:pPr>
        <w:rPr>
          <w:rFonts w:ascii="Arial" w:hAnsi="Arial" w:cs="Arial"/>
          <w:sz w:val="20"/>
          <w:szCs w:val="20"/>
        </w:rPr>
      </w:pPr>
      <w:proofErr w:type="spellStart"/>
      <w:r w:rsidRPr="00B21AA4">
        <w:rPr>
          <w:rFonts w:ascii="Arial" w:hAnsi="Arial" w:cs="Arial"/>
          <w:sz w:val="20"/>
          <w:szCs w:val="20"/>
        </w:rPr>
        <w:t>Tremaroli</w:t>
      </w:r>
      <w:proofErr w:type="spellEnd"/>
      <w:r w:rsidRPr="00B21AA4">
        <w:rPr>
          <w:rFonts w:ascii="Arial" w:hAnsi="Arial" w:cs="Arial"/>
          <w:sz w:val="20"/>
          <w:szCs w:val="20"/>
        </w:rPr>
        <w:t xml:space="preserve"> V, Karlsson F, Werling M, et al. Roux-en-Y gastric bypass and vertical banded gastroplasty induce long-term changes on the human gut microbiome contributing to fat mass regulation. Cell </w:t>
      </w:r>
      <w:proofErr w:type="spellStart"/>
      <w:r w:rsidRPr="00B21AA4">
        <w:rPr>
          <w:rFonts w:ascii="Arial" w:hAnsi="Arial" w:cs="Arial"/>
          <w:sz w:val="20"/>
          <w:szCs w:val="20"/>
        </w:rPr>
        <w:t>Metab</w:t>
      </w:r>
      <w:proofErr w:type="spellEnd"/>
      <w:r w:rsidRPr="00B21AA4">
        <w:rPr>
          <w:rFonts w:ascii="Arial" w:hAnsi="Arial" w:cs="Arial"/>
          <w:sz w:val="20"/>
          <w:szCs w:val="20"/>
        </w:rPr>
        <w:t>. 2015;22(2):228–238.</w:t>
      </w:r>
    </w:p>
    <w:p w14:paraId="79F9477B" w14:textId="77777777" w:rsidR="00000000" w:rsidRPr="00B21AA4" w:rsidRDefault="00000000" w:rsidP="00B21AA4">
      <w:pPr>
        <w:rPr>
          <w:rFonts w:ascii="Arial" w:hAnsi="Arial" w:cs="Arial"/>
          <w:sz w:val="20"/>
          <w:szCs w:val="20"/>
        </w:rPr>
      </w:pPr>
      <w:r w:rsidRPr="00B21AA4">
        <w:rPr>
          <w:rFonts w:ascii="Arial" w:hAnsi="Arial" w:cs="Arial"/>
          <w:sz w:val="20"/>
          <w:szCs w:val="20"/>
        </w:rPr>
        <w:t xml:space="preserve">van de Laar AW, van Rijswijk AS, </w:t>
      </w:r>
      <w:proofErr w:type="spellStart"/>
      <w:r w:rsidRPr="00B21AA4">
        <w:rPr>
          <w:rFonts w:ascii="Arial" w:hAnsi="Arial" w:cs="Arial"/>
          <w:sz w:val="20"/>
          <w:szCs w:val="20"/>
        </w:rPr>
        <w:t>Kaijser</w:t>
      </w:r>
      <w:proofErr w:type="spellEnd"/>
      <w:r w:rsidRPr="00B21AA4">
        <w:rPr>
          <w:rFonts w:ascii="Arial" w:hAnsi="Arial" w:cs="Arial"/>
          <w:sz w:val="20"/>
          <w:szCs w:val="20"/>
        </w:rPr>
        <w:t xml:space="preserve"> MA, et al. Minimally invasive versus open redo surgery of failed laparoscopic bariatric procedures: Systematic review of laparoscopic conversion revisional surgery for weight regain. </w:t>
      </w:r>
      <w:proofErr w:type="spellStart"/>
      <w:r w:rsidRPr="00B21AA4">
        <w:rPr>
          <w:rFonts w:ascii="Arial" w:hAnsi="Arial" w:cs="Arial"/>
          <w:sz w:val="20"/>
          <w:szCs w:val="20"/>
        </w:rPr>
        <w:t>Obes</w:t>
      </w:r>
      <w:proofErr w:type="spellEnd"/>
      <w:r w:rsidRPr="00B21AA4">
        <w:rPr>
          <w:rFonts w:ascii="Arial" w:hAnsi="Arial" w:cs="Arial"/>
          <w:sz w:val="20"/>
          <w:szCs w:val="20"/>
        </w:rPr>
        <w:t xml:space="preserve"> Surg. 2021;31(1):1–11.</w:t>
      </w:r>
    </w:p>
    <w:sectPr w:rsidR="00B21AA4" w:rsidRPr="00B21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M295A355W646T467"/>
    <w:docVar w:name="paperpile-doc-name" w:val="Network Analysis Methods Results and Discussions.docx"/>
    <w:docVar w:name="paperpile-includeDoi" w:val="false"/>
    <w:docVar w:name="paperpile-styleFile" w:val="cell.csl"/>
    <w:docVar w:name="paperpile-styleId" w:val="cell"/>
    <w:docVar w:name="paperpile-styleLabel" w:val="Cell"/>
    <w:docVar w:name="paperpile-styleLocale" w:val="en-US"/>
  </w:docVars>
  <w:rsids>
    <w:rsidRoot w:val="004D5C46"/>
    <w:rsid w:val="002944ED"/>
    <w:rsid w:val="002F0D10"/>
    <w:rsid w:val="004D5C46"/>
    <w:rsid w:val="005F392B"/>
    <w:rsid w:val="007737ED"/>
    <w:rsid w:val="00817305"/>
    <w:rsid w:val="009177A8"/>
    <w:rsid w:val="00A80E00"/>
    <w:rsid w:val="00DF16C9"/>
    <w:rsid w:val="00F36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479F21"/>
  <w15:chartTrackingRefBased/>
  <w15:docId w15:val="{EF867C04-2416-0340-B228-92C8FFD7A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5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5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C46"/>
    <w:rPr>
      <w:rFonts w:eastAsiaTheme="majorEastAsia" w:cstheme="majorBidi"/>
      <w:color w:val="272727" w:themeColor="text1" w:themeTint="D8"/>
    </w:rPr>
  </w:style>
  <w:style w:type="paragraph" w:styleId="Title">
    <w:name w:val="Title"/>
    <w:basedOn w:val="Normal"/>
    <w:next w:val="Normal"/>
    <w:link w:val="TitleChar"/>
    <w:uiPriority w:val="10"/>
    <w:qFormat/>
    <w:rsid w:val="004D5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C46"/>
    <w:pPr>
      <w:spacing w:before="160"/>
      <w:jc w:val="center"/>
    </w:pPr>
    <w:rPr>
      <w:i/>
      <w:iCs/>
      <w:color w:val="404040" w:themeColor="text1" w:themeTint="BF"/>
    </w:rPr>
  </w:style>
  <w:style w:type="character" w:customStyle="1" w:styleId="QuoteChar">
    <w:name w:val="Quote Char"/>
    <w:basedOn w:val="DefaultParagraphFont"/>
    <w:link w:val="Quote"/>
    <w:uiPriority w:val="29"/>
    <w:rsid w:val="004D5C46"/>
    <w:rPr>
      <w:i/>
      <w:iCs/>
      <w:color w:val="404040" w:themeColor="text1" w:themeTint="BF"/>
    </w:rPr>
  </w:style>
  <w:style w:type="paragraph" w:styleId="ListParagraph">
    <w:name w:val="List Paragraph"/>
    <w:basedOn w:val="Normal"/>
    <w:uiPriority w:val="34"/>
    <w:qFormat/>
    <w:rsid w:val="004D5C46"/>
    <w:pPr>
      <w:ind w:left="720"/>
      <w:contextualSpacing/>
    </w:pPr>
  </w:style>
  <w:style w:type="character" w:styleId="IntenseEmphasis">
    <w:name w:val="Intense Emphasis"/>
    <w:basedOn w:val="DefaultParagraphFont"/>
    <w:uiPriority w:val="21"/>
    <w:qFormat/>
    <w:rsid w:val="004D5C46"/>
    <w:rPr>
      <w:i/>
      <w:iCs/>
      <w:color w:val="0F4761" w:themeColor="accent1" w:themeShade="BF"/>
    </w:rPr>
  </w:style>
  <w:style w:type="paragraph" w:styleId="IntenseQuote">
    <w:name w:val="Intense Quote"/>
    <w:basedOn w:val="Normal"/>
    <w:next w:val="Normal"/>
    <w:link w:val="IntenseQuoteChar"/>
    <w:uiPriority w:val="30"/>
    <w:qFormat/>
    <w:rsid w:val="004D5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C46"/>
    <w:rPr>
      <w:i/>
      <w:iCs/>
      <w:color w:val="0F4761" w:themeColor="accent1" w:themeShade="BF"/>
    </w:rPr>
  </w:style>
  <w:style w:type="character" w:styleId="IntenseReference">
    <w:name w:val="Intense Reference"/>
    <w:basedOn w:val="DefaultParagraphFont"/>
    <w:uiPriority w:val="32"/>
    <w:qFormat/>
    <w:rsid w:val="004D5C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5278</Words>
  <Characters>32517</Characters>
  <Application>Microsoft Office Word</Application>
  <DocSecurity>0</DocSecurity>
  <Lines>492</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Wanjun</dc:creator>
  <cp:keywords/>
  <dc:description/>
  <cp:lastModifiedBy>Gu, Wanjun</cp:lastModifiedBy>
  <cp:revision>10</cp:revision>
  <dcterms:created xsi:type="dcterms:W3CDTF">2026-04-10T18:31:00Z</dcterms:created>
  <dcterms:modified xsi:type="dcterms:W3CDTF">2026-04-10T23:29:00Z</dcterms:modified>
</cp:coreProperties>
</file>