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8EC18" w14:textId="60BC00B9" w:rsidR="00145D9B" w:rsidRPr="00B64788" w:rsidRDefault="00B64788" w:rsidP="00145D9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47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Supplementary Figure Caption</w:t>
      </w:r>
    </w:p>
    <w:p w14:paraId="3E624339" w14:textId="77777777" w:rsidR="00B64788" w:rsidRPr="00B64788" w:rsidRDefault="00B64788" w:rsidP="00145D9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E793869" w14:textId="77777777" w:rsidR="00B64788" w:rsidRPr="00B64788" w:rsidRDefault="00B64788" w:rsidP="00B64788">
      <w:pPr>
        <w:rPr>
          <w:rFonts w:ascii="Times New Roman" w:hAnsi="Times New Roman" w:cs="Times New Roman"/>
          <w:b/>
          <w:bCs/>
        </w:rPr>
      </w:pPr>
      <w:r w:rsidRPr="00B64788">
        <w:rPr>
          <w:rFonts w:ascii="Times New Roman" w:hAnsi="Times New Roman" w:cs="Times New Roman"/>
          <w:b/>
          <w:bCs/>
        </w:rPr>
        <w:t>Supplementary Figure 1. Excess body weight distributions across latent trajectory classes.</w:t>
      </w:r>
    </w:p>
    <w:p w14:paraId="5B75BFFA" w14:textId="77777777" w:rsidR="00B64788" w:rsidRPr="00B64788" w:rsidRDefault="00B64788" w:rsidP="00B64788">
      <w:pPr>
        <w:rPr>
          <w:rFonts w:ascii="Times New Roman" w:hAnsi="Times New Roman" w:cs="Times New Roman"/>
        </w:rPr>
      </w:pPr>
      <w:r w:rsidRPr="00B64788">
        <w:rPr>
          <w:rFonts w:ascii="Times New Roman" w:hAnsi="Times New Roman" w:cs="Times New Roman"/>
          <w:b/>
          <w:bCs/>
        </w:rPr>
        <w:t>a.</w:t>
      </w:r>
      <w:r w:rsidRPr="00B64788">
        <w:rPr>
          <w:rFonts w:ascii="Times New Roman" w:hAnsi="Times New Roman" w:cs="Times New Roman"/>
        </w:rPr>
        <w:t xml:space="preserve"> EBW at baseline, </w:t>
      </w:r>
      <w:r w:rsidRPr="00B64788">
        <w:rPr>
          <w:rFonts w:ascii="Times New Roman" w:hAnsi="Times New Roman" w:cs="Times New Roman"/>
          <w:b/>
          <w:bCs/>
        </w:rPr>
        <w:t>b.</w:t>
      </w:r>
      <w:r w:rsidRPr="00B64788">
        <w:rPr>
          <w:rFonts w:ascii="Times New Roman" w:hAnsi="Times New Roman" w:cs="Times New Roman"/>
        </w:rPr>
        <w:t xml:space="preserve"> EBW at 1 year, and </w:t>
      </w:r>
      <w:r w:rsidRPr="00B64788">
        <w:rPr>
          <w:rFonts w:ascii="Times New Roman" w:hAnsi="Times New Roman" w:cs="Times New Roman"/>
          <w:b/>
          <w:bCs/>
        </w:rPr>
        <w:t>c.</w:t>
      </w:r>
      <w:r w:rsidRPr="00B64788">
        <w:rPr>
          <w:rFonts w:ascii="Times New Roman" w:hAnsi="Times New Roman" w:cs="Times New Roman"/>
        </w:rPr>
        <w:t xml:space="preserve"> EBW at 5 years post-surgery for Classes 1 (gold), 2 (blue), and 3 (pink) identified by latent class growth mixture modeling. Class 3 had substantially lower baseline EBW and was excluded from metabolomic analysis.</w:t>
      </w:r>
    </w:p>
    <w:p w14:paraId="1FC82C5C" w14:textId="77777777" w:rsidR="00B64788" w:rsidRDefault="00B64788" w:rsidP="00B64788">
      <w:pPr>
        <w:rPr>
          <w:rFonts w:ascii="Times New Roman" w:hAnsi="Times New Roman" w:cs="Times New Roman"/>
        </w:rPr>
      </w:pPr>
    </w:p>
    <w:p w14:paraId="4F52BDA0" w14:textId="6BFE8F31" w:rsidR="00B64788" w:rsidRPr="00B64788" w:rsidRDefault="00B64788" w:rsidP="00B64788">
      <w:pPr>
        <w:rPr>
          <w:rFonts w:ascii="Times New Roman" w:hAnsi="Times New Roman" w:cs="Times New Roman"/>
          <w:b/>
          <w:bCs/>
        </w:rPr>
      </w:pPr>
      <w:r w:rsidRPr="00B64788">
        <w:rPr>
          <w:rFonts w:ascii="Times New Roman" w:hAnsi="Times New Roman" w:cs="Times New Roman"/>
          <w:b/>
          <w:bCs/>
        </w:rPr>
        <w:t>Supplementary Figure 2. Weight trajectories by outcome group, sex, and surgical site.</w:t>
      </w:r>
    </w:p>
    <w:p w14:paraId="34417ADE" w14:textId="77777777" w:rsidR="00B64788" w:rsidRPr="00B64788" w:rsidRDefault="00B64788" w:rsidP="00B64788">
      <w:pPr>
        <w:rPr>
          <w:rFonts w:ascii="Times New Roman" w:hAnsi="Times New Roman" w:cs="Times New Roman"/>
        </w:rPr>
      </w:pPr>
      <w:r w:rsidRPr="00B64788">
        <w:rPr>
          <w:rFonts w:ascii="Times New Roman" w:hAnsi="Times New Roman" w:cs="Times New Roman"/>
          <w:b/>
          <w:bCs/>
        </w:rPr>
        <w:t>a.</w:t>
      </w:r>
      <w:r w:rsidRPr="00B64788">
        <w:rPr>
          <w:rFonts w:ascii="Times New Roman" w:hAnsi="Times New Roman" w:cs="Times New Roman"/>
        </w:rPr>
        <w:t xml:space="preserve"> EBW (kg) at years 3, 4, and 5 for weight regain (RGN) and sustained weight loss (SWL) groups. </w:t>
      </w:r>
      <w:r w:rsidRPr="00B64788">
        <w:rPr>
          <w:rFonts w:ascii="Times New Roman" w:hAnsi="Times New Roman" w:cs="Times New Roman"/>
          <w:b/>
          <w:bCs/>
        </w:rPr>
        <w:t xml:space="preserve">b. </w:t>
      </w:r>
      <w:r w:rsidRPr="00B64788">
        <w:rPr>
          <w:rFonts w:ascii="Times New Roman" w:hAnsi="Times New Roman" w:cs="Times New Roman"/>
        </w:rPr>
        <w:t xml:space="preserve">Change in EBW (kg) at years 3, 4, and 5 by outcome group. </w:t>
      </w:r>
      <w:r w:rsidRPr="00B64788">
        <w:rPr>
          <w:rFonts w:ascii="Times New Roman" w:hAnsi="Times New Roman" w:cs="Times New Roman"/>
          <w:b/>
          <w:bCs/>
        </w:rPr>
        <w:t>c.</w:t>
      </w:r>
      <w:r w:rsidRPr="00B64788">
        <w:rPr>
          <w:rFonts w:ascii="Times New Roman" w:hAnsi="Times New Roman" w:cs="Times New Roman"/>
        </w:rPr>
        <w:t xml:space="preserve"> Individual EBW trajectories over 84 months colored by outcome group (RGN, gold; SWL, blue). </w:t>
      </w:r>
      <w:r w:rsidRPr="00B64788">
        <w:rPr>
          <w:rFonts w:ascii="Times New Roman" w:hAnsi="Times New Roman" w:cs="Times New Roman"/>
          <w:b/>
          <w:bCs/>
        </w:rPr>
        <w:t>d.</w:t>
      </w:r>
      <w:r w:rsidRPr="00B64788">
        <w:rPr>
          <w:rFonts w:ascii="Times New Roman" w:hAnsi="Times New Roman" w:cs="Times New Roman"/>
        </w:rPr>
        <w:t xml:space="preserve"> Percent EBW loss over 84 months by outcome group. </w:t>
      </w:r>
      <w:r w:rsidRPr="00B64788">
        <w:rPr>
          <w:rFonts w:ascii="Times New Roman" w:hAnsi="Times New Roman" w:cs="Times New Roman"/>
          <w:b/>
          <w:bCs/>
        </w:rPr>
        <w:t>e.</w:t>
      </w:r>
      <w:r w:rsidRPr="00B64788">
        <w:rPr>
          <w:rFonts w:ascii="Times New Roman" w:hAnsi="Times New Roman" w:cs="Times New Roman"/>
        </w:rPr>
        <w:t xml:space="preserve"> Individual EBW trajectories by sex (male, blue; female, pink). f. Individual EBW trajectories colored by surgical site.</w:t>
      </w:r>
    </w:p>
    <w:p w14:paraId="4021CE92" w14:textId="77777777" w:rsidR="00B64788" w:rsidRDefault="00B64788" w:rsidP="00B64788">
      <w:pPr>
        <w:rPr>
          <w:rFonts w:ascii="Times New Roman" w:hAnsi="Times New Roman" w:cs="Times New Roman"/>
        </w:rPr>
      </w:pPr>
    </w:p>
    <w:p w14:paraId="4F136506" w14:textId="19B4976C" w:rsidR="00B64788" w:rsidRPr="00B64788" w:rsidRDefault="00B64788" w:rsidP="00B64788">
      <w:pPr>
        <w:rPr>
          <w:rFonts w:ascii="Times New Roman" w:hAnsi="Times New Roman" w:cs="Times New Roman"/>
          <w:b/>
          <w:bCs/>
        </w:rPr>
      </w:pPr>
      <w:r w:rsidRPr="00B64788">
        <w:rPr>
          <w:rFonts w:ascii="Times New Roman" w:hAnsi="Times New Roman" w:cs="Times New Roman"/>
          <w:b/>
          <w:bCs/>
        </w:rPr>
        <w:t>Supplementary Figure 3. Pairwise metabolite correlation matrix.</w:t>
      </w:r>
    </w:p>
    <w:p w14:paraId="361770DF" w14:textId="692FBC88" w:rsidR="00B64788" w:rsidRPr="00B64788" w:rsidRDefault="00B64788" w:rsidP="00B64788">
      <w:pPr>
        <w:rPr>
          <w:rFonts w:ascii="Times New Roman" w:hAnsi="Times New Roman" w:cs="Times New Roman"/>
        </w:rPr>
      </w:pPr>
      <w:r w:rsidRPr="00B64788">
        <w:rPr>
          <w:rFonts w:ascii="Times New Roman" w:hAnsi="Times New Roman" w:cs="Times New Roman"/>
        </w:rPr>
        <w:t xml:space="preserve">Heatmap of Pearson correlation coefficients among all metabolites included in the analysis. Color scale ranges from </w:t>
      </w:r>
      <w:r w:rsidR="004E1641">
        <w:rPr>
          <w:rFonts w:ascii="Times New Roman" w:hAnsi="Times New Roman" w:cs="Times New Roman"/>
        </w:rPr>
        <w:t>-</w:t>
      </w:r>
      <w:r w:rsidRPr="00B64788">
        <w:rPr>
          <w:rFonts w:ascii="Times New Roman" w:hAnsi="Times New Roman" w:cs="Times New Roman"/>
        </w:rPr>
        <w:t>1 (blue) to 1 (red).</w:t>
      </w:r>
    </w:p>
    <w:p w14:paraId="3EC18A85" w14:textId="77777777" w:rsidR="00B64788" w:rsidRDefault="00B64788" w:rsidP="00B64788">
      <w:pPr>
        <w:rPr>
          <w:rFonts w:ascii="Times New Roman" w:hAnsi="Times New Roman" w:cs="Times New Roman"/>
        </w:rPr>
      </w:pPr>
    </w:p>
    <w:p w14:paraId="3C51DEBF" w14:textId="36DC5BFB" w:rsidR="00B64788" w:rsidRPr="00B64788" w:rsidRDefault="00B64788" w:rsidP="00B64788">
      <w:pPr>
        <w:rPr>
          <w:rFonts w:ascii="Times New Roman" w:hAnsi="Times New Roman" w:cs="Times New Roman"/>
          <w:b/>
          <w:bCs/>
        </w:rPr>
      </w:pPr>
      <w:r w:rsidRPr="00B64788">
        <w:rPr>
          <w:rFonts w:ascii="Times New Roman" w:hAnsi="Times New Roman" w:cs="Times New Roman"/>
          <w:b/>
          <w:bCs/>
        </w:rPr>
        <w:t>Supplementary Figure 4. Metabolite selection stability and association distribution.</w:t>
      </w:r>
    </w:p>
    <w:p w14:paraId="2BDB2705" w14:textId="18EFCB45" w:rsidR="00B64788" w:rsidRPr="00B64788" w:rsidRDefault="00B64788" w:rsidP="00B64788">
      <w:pPr>
        <w:rPr>
          <w:rFonts w:ascii="Times New Roman" w:hAnsi="Times New Roman" w:cs="Times New Roman"/>
        </w:rPr>
      </w:pPr>
      <w:r w:rsidRPr="00B64788">
        <w:rPr>
          <w:rFonts w:ascii="Times New Roman" w:hAnsi="Times New Roman" w:cs="Times New Roman"/>
          <w:b/>
          <w:bCs/>
        </w:rPr>
        <w:t>a.</w:t>
      </w:r>
      <w:r w:rsidRPr="00B64788">
        <w:rPr>
          <w:rFonts w:ascii="Times New Roman" w:hAnsi="Times New Roman" w:cs="Times New Roman"/>
        </w:rPr>
        <w:t xml:space="preserve"> Bootstrap selection frequency for candidate metabolites across 1,000 iterations of bidirectional stepwise regression. Blue bars indicate metabolites included in the final MetRS; gray bars indicate metabolites not retained. Dashed line marks the 50% selection threshold. </w:t>
      </w:r>
      <w:r w:rsidRPr="00B64788">
        <w:rPr>
          <w:rFonts w:ascii="Times New Roman" w:hAnsi="Times New Roman" w:cs="Times New Roman"/>
          <w:b/>
          <w:bCs/>
        </w:rPr>
        <w:t>b.</w:t>
      </w:r>
      <w:r w:rsidRPr="00B64788">
        <w:rPr>
          <w:rFonts w:ascii="Times New Roman" w:hAnsi="Times New Roman" w:cs="Times New Roman"/>
        </w:rPr>
        <w:t xml:space="preserve"> Histogram of p-values from univariate associations between all 541 metabolites and %EBW5. Dashed line indicates the expected number of metabolites under the null distribution. </w:t>
      </w:r>
      <w:r w:rsidRPr="00B64788">
        <w:rPr>
          <w:rFonts w:ascii="Times New Roman" w:hAnsi="Times New Roman" w:cs="Times New Roman"/>
          <w:b/>
          <w:bCs/>
        </w:rPr>
        <w:t>c.</w:t>
      </w:r>
      <w:r w:rsidRPr="00B64788">
        <w:rPr>
          <w:rFonts w:ascii="Times New Roman" w:hAnsi="Times New Roman" w:cs="Times New Roman"/>
        </w:rPr>
        <w:t xml:space="preserve"> Quantile-quantile (Q-Q) plot of observed versus expected </w:t>
      </w:r>
      <w:r w:rsidR="00B35F18">
        <w:rPr>
          <w:rFonts w:ascii="Times New Roman" w:hAnsi="Times New Roman" w:cs="Times New Roman"/>
        </w:rPr>
        <w:t>-</w:t>
      </w:r>
      <w:r w:rsidRPr="00B64788">
        <w:rPr>
          <w:rFonts w:ascii="Times New Roman" w:hAnsi="Times New Roman" w:cs="Times New Roman"/>
        </w:rPr>
        <w:t>log₁₀(p) values (genomic inflation factor λ = 1.87).</w:t>
      </w:r>
    </w:p>
    <w:p w14:paraId="70B40706" w14:textId="77777777" w:rsidR="00B64788" w:rsidRDefault="00B64788" w:rsidP="00B64788">
      <w:pPr>
        <w:rPr>
          <w:rFonts w:ascii="Times New Roman" w:hAnsi="Times New Roman" w:cs="Times New Roman"/>
        </w:rPr>
      </w:pPr>
    </w:p>
    <w:p w14:paraId="1174B84C" w14:textId="21EBDE18" w:rsidR="00B64788" w:rsidRPr="00B64788" w:rsidRDefault="00B64788" w:rsidP="00B64788">
      <w:pPr>
        <w:rPr>
          <w:rFonts w:ascii="Times New Roman" w:hAnsi="Times New Roman" w:cs="Times New Roman"/>
          <w:b/>
          <w:bCs/>
        </w:rPr>
      </w:pPr>
      <w:r w:rsidRPr="00B64788">
        <w:rPr>
          <w:rFonts w:ascii="Times New Roman" w:hAnsi="Times New Roman" w:cs="Times New Roman"/>
          <w:b/>
          <w:bCs/>
        </w:rPr>
        <w:t>Supplementary Figure 5. External evaluation in the Estonian Biobank obesity extremes cohort.</w:t>
      </w:r>
    </w:p>
    <w:p w14:paraId="45CEE80B" w14:textId="77777777" w:rsidR="00B64788" w:rsidRPr="00B64788" w:rsidRDefault="00B64788" w:rsidP="00B64788">
      <w:pPr>
        <w:rPr>
          <w:rFonts w:ascii="Times New Roman" w:hAnsi="Times New Roman" w:cs="Times New Roman"/>
        </w:rPr>
      </w:pPr>
      <w:r w:rsidRPr="00B64788">
        <w:rPr>
          <w:rFonts w:ascii="Times New Roman" w:hAnsi="Times New Roman" w:cs="Times New Roman"/>
          <w:b/>
          <w:bCs/>
        </w:rPr>
        <w:t>a.</w:t>
      </w:r>
      <w:r w:rsidRPr="00B64788">
        <w:rPr>
          <w:rFonts w:ascii="Times New Roman" w:hAnsi="Times New Roman" w:cs="Times New Roman"/>
        </w:rPr>
        <w:t xml:space="preserve"> Demographic and clinical characteristics of lean (n = 98) and obese (n = 100) participants. Metabolite features: 18,667 </w:t>
      </w:r>
      <w:proofErr w:type="gramStart"/>
      <w:r w:rsidRPr="00B64788">
        <w:rPr>
          <w:rFonts w:ascii="Times New Roman" w:hAnsi="Times New Roman" w:cs="Times New Roman"/>
        </w:rPr>
        <w:t>unknown</w:t>
      </w:r>
      <w:proofErr w:type="gramEnd"/>
      <w:r w:rsidRPr="00B64788">
        <w:rPr>
          <w:rFonts w:ascii="Times New Roman" w:hAnsi="Times New Roman" w:cs="Times New Roman"/>
        </w:rPr>
        <w:t xml:space="preserve">; 383 known. </w:t>
      </w:r>
      <w:r w:rsidRPr="00B64788">
        <w:rPr>
          <w:rFonts w:ascii="Times New Roman" w:hAnsi="Times New Roman" w:cs="Times New Roman"/>
          <w:b/>
          <w:bCs/>
        </w:rPr>
        <w:t>b.</w:t>
      </w:r>
      <w:r w:rsidRPr="00B64788">
        <w:rPr>
          <w:rFonts w:ascii="Times New Roman" w:hAnsi="Times New Roman" w:cs="Times New Roman"/>
        </w:rPr>
        <w:t xml:space="preserve"> Partial least squares discriminant analysis (PLS-DA) of lean (blue) and obese (gold) participants based on metabolomic profiles. </w:t>
      </w:r>
      <w:r w:rsidRPr="00B64788">
        <w:rPr>
          <w:rFonts w:ascii="Times New Roman" w:hAnsi="Times New Roman" w:cs="Times New Roman"/>
          <w:b/>
          <w:bCs/>
        </w:rPr>
        <w:t>c.</w:t>
      </w:r>
      <w:r w:rsidRPr="00B64788">
        <w:rPr>
          <w:rFonts w:ascii="Times New Roman" w:hAnsi="Times New Roman" w:cs="Times New Roman"/>
        </w:rPr>
        <w:t xml:space="preserve"> MetRS-10 in the discovery cohort comparing sustained weight loss (SWL) and weight regain (RGN) groups (p = 8.1 × 10⁻⁵), confirming discriminative ability of the reduced score.</w:t>
      </w:r>
    </w:p>
    <w:p w14:paraId="4B990819" w14:textId="77777777" w:rsidR="00B64788" w:rsidRDefault="00B64788" w:rsidP="00B64788">
      <w:pPr>
        <w:rPr>
          <w:rFonts w:ascii="Times New Roman" w:hAnsi="Times New Roman" w:cs="Times New Roman"/>
        </w:rPr>
      </w:pPr>
    </w:p>
    <w:p w14:paraId="2DA8BCD2" w14:textId="2AFD1EF3" w:rsidR="00B64788" w:rsidRPr="00B64788" w:rsidRDefault="00B64788" w:rsidP="00B64788">
      <w:pPr>
        <w:rPr>
          <w:rFonts w:ascii="Times New Roman" w:hAnsi="Times New Roman" w:cs="Times New Roman"/>
          <w:b/>
          <w:bCs/>
        </w:rPr>
      </w:pPr>
      <w:r w:rsidRPr="00B64788">
        <w:rPr>
          <w:rFonts w:ascii="Times New Roman" w:hAnsi="Times New Roman" w:cs="Times New Roman"/>
          <w:b/>
          <w:bCs/>
        </w:rPr>
        <w:t>Supplementary Figure 6. External evaluation in an independent post-RYGB clinical cohort.</w:t>
      </w:r>
    </w:p>
    <w:p w14:paraId="3D60A16D" w14:textId="77777777" w:rsidR="00B64788" w:rsidRPr="00B64788" w:rsidRDefault="00B64788" w:rsidP="00B64788">
      <w:pPr>
        <w:rPr>
          <w:rFonts w:ascii="Times New Roman" w:hAnsi="Times New Roman" w:cs="Times New Roman"/>
        </w:rPr>
      </w:pPr>
      <w:r w:rsidRPr="00B64788">
        <w:rPr>
          <w:rFonts w:ascii="Times New Roman" w:hAnsi="Times New Roman" w:cs="Times New Roman"/>
          <w:b/>
          <w:bCs/>
        </w:rPr>
        <w:t>a.</w:t>
      </w:r>
      <w:r w:rsidRPr="00B64788">
        <w:rPr>
          <w:rFonts w:ascii="Times New Roman" w:hAnsi="Times New Roman" w:cs="Times New Roman"/>
        </w:rPr>
        <w:t xml:space="preserve"> Demographic and clinical characteristics of controls (n = 11), RYGB with sustained weight loss (RYGB-SWL, n = 14), and RYGB with weight regain (RYGB-RGN, n = 21). </w:t>
      </w:r>
      <w:r w:rsidRPr="00B64788">
        <w:rPr>
          <w:rFonts w:ascii="Times New Roman" w:hAnsi="Times New Roman" w:cs="Times New Roman"/>
          <w:b/>
          <w:bCs/>
        </w:rPr>
        <w:t xml:space="preserve">b. </w:t>
      </w:r>
      <w:r w:rsidRPr="00B64788">
        <w:rPr>
          <w:rFonts w:ascii="Times New Roman" w:hAnsi="Times New Roman" w:cs="Times New Roman"/>
        </w:rPr>
        <w:t xml:space="preserve">PLS-DA of SWL (blue) and RGN (gold) participants based on metabolomic profiles. </w:t>
      </w:r>
      <w:r w:rsidRPr="00B64788">
        <w:rPr>
          <w:rFonts w:ascii="Times New Roman" w:hAnsi="Times New Roman" w:cs="Times New Roman"/>
          <w:b/>
          <w:bCs/>
        </w:rPr>
        <w:t>c.</w:t>
      </w:r>
      <w:r w:rsidRPr="00B64788">
        <w:rPr>
          <w:rFonts w:ascii="Times New Roman" w:hAnsi="Times New Roman" w:cs="Times New Roman"/>
        </w:rPr>
        <w:t xml:space="preserve"> MetRS-8 in the discovery cohort comparing SWL and RGN groups (p = 2.6 × 10⁻⁶), confirming discriminative ability of the reduced score.</w:t>
      </w:r>
    </w:p>
    <w:p w14:paraId="1AB19DBD" w14:textId="77777777" w:rsidR="00B64788" w:rsidRDefault="00B64788" w:rsidP="00B64788">
      <w:pPr>
        <w:rPr>
          <w:rFonts w:ascii="Times New Roman" w:hAnsi="Times New Roman" w:cs="Times New Roman"/>
        </w:rPr>
      </w:pPr>
    </w:p>
    <w:p w14:paraId="3F1DA3F8" w14:textId="457E55E2" w:rsidR="00B64788" w:rsidRPr="00B64788" w:rsidRDefault="00B64788" w:rsidP="00B64788">
      <w:pPr>
        <w:rPr>
          <w:rFonts w:ascii="Times New Roman" w:hAnsi="Times New Roman" w:cs="Times New Roman"/>
          <w:b/>
          <w:bCs/>
        </w:rPr>
      </w:pPr>
      <w:r w:rsidRPr="00B64788">
        <w:rPr>
          <w:rFonts w:ascii="Times New Roman" w:hAnsi="Times New Roman" w:cs="Times New Roman"/>
          <w:b/>
          <w:bCs/>
        </w:rPr>
        <w:t>Supplementary Figure 7. Genetic architecture of MetRS and constituent metabolites in the Framingham Heart Study.</w:t>
      </w:r>
    </w:p>
    <w:p w14:paraId="1F65DDAD" w14:textId="4A581C09" w:rsidR="00B64788" w:rsidRPr="00B64788" w:rsidRDefault="00B64788" w:rsidP="00B64788">
      <w:pPr>
        <w:rPr>
          <w:rFonts w:ascii="Times New Roman" w:hAnsi="Times New Roman" w:cs="Times New Roman"/>
        </w:rPr>
      </w:pPr>
      <w:r w:rsidRPr="00B64788">
        <w:rPr>
          <w:rFonts w:ascii="Times New Roman" w:hAnsi="Times New Roman" w:cs="Times New Roman"/>
          <w:b/>
          <w:bCs/>
        </w:rPr>
        <w:t>a.</w:t>
      </w:r>
      <w:r w:rsidRPr="00B64788">
        <w:rPr>
          <w:rFonts w:ascii="Times New Roman" w:hAnsi="Times New Roman" w:cs="Times New Roman"/>
        </w:rPr>
        <w:t xml:space="preserve"> Demographic, anthropometric, cardiometabolic, and metabolite characteristics of the FHS Offspring cohort (n = 1,613). </w:t>
      </w:r>
      <w:r w:rsidRPr="00B64788">
        <w:rPr>
          <w:rFonts w:ascii="Times New Roman" w:hAnsi="Times New Roman" w:cs="Times New Roman"/>
          <w:b/>
          <w:bCs/>
        </w:rPr>
        <w:t xml:space="preserve">b. </w:t>
      </w:r>
      <w:r w:rsidRPr="00B64788">
        <w:rPr>
          <w:rFonts w:ascii="Times New Roman" w:hAnsi="Times New Roman" w:cs="Times New Roman"/>
        </w:rPr>
        <w:t xml:space="preserve">Genome-wide significant loci for MetRS component </w:t>
      </w:r>
      <w:r w:rsidRPr="00B64788">
        <w:rPr>
          <w:rFonts w:ascii="Times New Roman" w:hAnsi="Times New Roman" w:cs="Times New Roman"/>
        </w:rPr>
        <w:lastRenderedPageBreak/>
        <w:t xml:space="preserve">metabolites, including chromosomal position, gene, </w:t>
      </w:r>
      <w:proofErr w:type="spellStart"/>
      <w:r w:rsidR="003E4E66">
        <w:rPr>
          <w:rFonts w:ascii="Times New Roman" w:hAnsi="Times New Roman" w:cs="Times New Roman"/>
        </w:rPr>
        <w:t>rs</w:t>
      </w:r>
      <w:r w:rsidRPr="00B64788">
        <w:rPr>
          <w:rFonts w:ascii="Times New Roman" w:hAnsi="Times New Roman" w:cs="Times New Roman"/>
        </w:rPr>
        <w:t>ID</w:t>
      </w:r>
      <w:proofErr w:type="spellEnd"/>
      <w:r w:rsidRPr="00B64788">
        <w:rPr>
          <w:rFonts w:ascii="Times New Roman" w:hAnsi="Times New Roman" w:cs="Times New Roman"/>
        </w:rPr>
        <w:t xml:space="preserve">, and p-value. </w:t>
      </w:r>
      <w:r w:rsidRPr="00B64788">
        <w:rPr>
          <w:rFonts w:ascii="Times New Roman" w:hAnsi="Times New Roman" w:cs="Times New Roman"/>
          <w:b/>
          <w:bCs/>
        </w:rPr>
        <w:t>c.</w:t>
      </w:r>
      <w:r w:rsidRPr="00B64788">
        <w:rPr>
          <w:rFonts w:ascii="Times New Roman" w:hAnsi="Times New Roman" w:cs="Times New Roman"/>
        </w:rPr>
        <w:t xml:space="preserve"> </w:t>
      </w:r>
      <w:proofErr w:type="gramStart"/>
      <w:r w:rsidRPr="00B64788">
        <w:rPr>
          <w:rFonts w:ascii="Times New Roman" w:hAnsi="Times New Roman" w:cs="Times New Roman"/>
        </w:rPr>
        <w:t>Regional</w:t>
      </w:r>
      <w:proofErr w:type="gramEnd"/>
      <w:r w:rsidRPr="00B64788">
        <w:rPr>
          <w:rFonts w:ascii="Times New Roman" w:hAnsi="Times New Roman" w:cs="Times New Roman"/>
        </w:rPr>
        <w:t xml:space="preserve"> association plot at the AGXT2 locus (chr5) for the MetRS-associated variant rs</w:t>
      </w:r>
      <w:r w:rsidR="003E4E66">
        <w:rPr>
          <w:rFonts w:ascii="Times New Roman" w:hAnsi="Times New Roman" w:cs="Times New Roman"/>
        </w:rPr>
        <w:t>13174300</w:t>
      </w:r>
      <w:r w:rsidRPr="00B64788">
        <w:rPr>
          <w:rFonts w:ascii="Times New Roman" w:hAnsi="Times New Roman" w:cs="Times New Roman"/>
        </w:rPr>
        <w:t>.</w:t>
      </w:r>
      <w:r w:rsidRPr="00B64788">
        <w:rPr>
          <w:rFonts w:ascii="Times New Roman" w:hAnsi="Times New Roman" w:cs="Times New Roman"/>
          <w:b/>
          <w:bCs/>
        </w:rPr>
        <w:t xml:space="preserve"> d. </w:t>
      </w:r>
      <w:proofErr w:type="gramStart"/>
      <w:r w:rsidRPr="00B64788">
        <w:rPr>
          <w:rFonts w:ascii="Times New Roman" w:hAnsi="Times New Roman" w:cs="Times New Roman"/>
        </w:rPr>
        <w:t>Regional</w:t>
      </w:r>
      <w:proofErr w:type="gramEnd"/>
      <w:r w:rsidRPr="00B64788">
        <w:rPr>
          <w:rFonts w:ascii="Times New Roman" w:hAnsi="Times New Roman" w:cs="Times New Roman"/>
        </w:rPr>
        <w:t xml:space="preserve"> association plot at AGXT2 for the BAIBA-associated variant rs</w:t>
      </w:r>
      <w:r w:rsidR="003E4E66">
        <w:rPr>
          <w:rFonts w:ascii="Times New Roman" w:hAnsi="Times New Roman" w:cs="Times New Roman"/>
        </w:rPr>
        <w:t>11749934</w:t>
      </w:r>
      <w:r w:rsidRPr="00B64788">
        <w:rPr>
          <w:rFonts w:ascii="Times New Roman" w:hAnsi="Times New Roman" w:cs="Times New Roman"/>
        </w:rPr>
        <w:t xml:space="preserve">. </w:t>
      </w:r>
      <w:r w:rsidRPr="00B64788">
        <w:rPr>
          <w:rFonts w:ascii="Times New Roman" w:hAnsi="Times New Roman" w:cs="Times New Roman"/>
          <w:b/>
          <w:bCs/>
        </w:rPr>
        <w:t>e.</w:t>
      </w:r>
      <w:r w:rsidRPr="00B64788">
        <w:rPr>
          <w:rFonts w:ascii="Times New Roman" w:hAnsi="Times New Roman" w:cs="Times New Roman"/>
        </w:rPr>
        <w:t xml:space="preserve"> </w:t>
      </w:r>
      <w:proofErr w:type="gramStart"/>
      <w:r w:rsidRPr="00B64788">
        <w:rPr>
          <w:rFonts w:ascii="Times New Roman" w:hAnsi="Times New Roman" w:cs="Times New Roman"/>
        </w:rPr>
        <w:t>Regional</w:t>
      </w:r>
      <w:proofErr w:type="gramEnd"/>
      <w:r w:rsidRPr="00B64788">
        <w:rPr>
          <w:rFonts w:ascii="Times New Roman" w:hAnsi="Times New Roman" w:cs="Times New Roman"/>
        </w:rPr>
        <w:t xml:space="preserve"> association plot at AGXT2 for the BAIBA-associated variant rs3</w:t>
      </w:r>
      <w:r w:rsidR="003E4E66">
        <w:rPr>
          <w:rFonts w:ascii="Times New Roman" w:hAnsi="Times New Roman" w:cs="Times New Roman"/>
        </w:rPr>
        <w:t>7376</w:t>
      </w:r>
      <w:r w:rsidRPr="00B64788">
        <w:rPr>
          <w:rFonts w:ascii="Times New Roman" w:hAnsi="Times New Roman" w:cs="Times New Roman"/>
        </w:rPr>
        <w:t>.</w:t>
      </w:r>
    </w:p>
    <w:sectPr w:rsidR="00B64788" w:rsidRPr="00B647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DengXian">
    <w:altName w:val="等线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Cell&lt;/Style&gt;&lt;LeftDelim&gt;{&lt;/LeftDelim&gt;&lt;RightDelim&gt;}&lt;/RightDelim&gt;&lt;FontName&gt;Times New Roman&lt;/FontName&gt;&lt;FontSize&gt;12&lt;/FontSize&gt;&lt;ReflistTitle&gt;&lt;style face=&quot;bold&quot;&gt;References&lt;/sty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dpd2vxvzbrettiewttmxv505wwsfzatsx2zd&quot;&gt;My EndNote Library&lt;record-ids&gt;&lt;item&gt;6230&lt;/item&gt;&lt;item&gt;8312&lt;/item&gt;&lt;item&gt;9570&lt;/item&gt;&lt;item&gt;9659&lt;/item&gt;&lt;item&gt;12027&lt;/item&gt;&lt;item&gt;12029&lt;/item&gt;&lt;item&gt;12030&lt;/item&gt;&lt;item&gt;12032&lt;/item&gt;&lt;item&gt;12033&lt;/item&gt;&lt;item&gt;12034&lt;/item&gt;&lt;item&gt;12035&lt;/item&gt;&lt;/record-ids&gt;&lt;/item&gt;&lt;/Libraries&gt;"/>
    <w:docVar w:name="EN.UseJSCitationFormat" w:val="False"/>
  </w:docVars>
  <w:rsids>
    <w:rsidRoot w:val="00145D9B"/>
    <w:rsid w:val="000018E7"/>
    <w:rsid w:val="0000218C"/>
    <w:rsid w:val="000036E7"/>
    <w:rsid w:val="00004F9A"/>
    <w:rsid w:val="000065E4"/>
    <w:rsid w:val="0001038D"/>
    <w:rsid w:val="00010A31"/>
    <w:rsid w:val="00013C21"/>
    <w:rsid w:val="00024E81"/>
    <w:rsid w:val="00026C4D"/>
    <w:rsid w:val="00027560"/>
    <w:rsid w:val="00033576"/>
    <w:rsid w:val="000354AF"/>
    <w:rsid w:val="0003754D"/>
    <w:rsid w:val="00040FB2"/>
    <w:rsid w:val="0004181B"/>
    <w:rsid w:val="00044068"/>
    <w:rsid w:val="00044117"/>
    <w:rsid w:val="0004604B"/>
    <w:rsid w:val="00047CA6"/>
    <w:rsid w:val="00057C4B"/>
    <w:rsid w:val="00060136"/>
    <w:rsid w:val="000610F1"/>
    <w:rsid w:val="000617AC"/>
    <w:rsid w:val="00061CA3"/>
    <w:rsid w:val="000626EB"/>
    <w:rsid w:val="000665F4"/>
    <w:rsid w:val="000856F0"/>
    <w:rsid w:val="00085B6D"/>
    <w:rsid w:val="00093AA4"/>
    <w:rsid w:val="0009775D"/>
    <w:rsid w:val="000A4E57"/>
    <w:rsid w:val="000B1C39"/>
    <w:rsid w:val="000B343F"/>
    <w:rsid w:val="000B7532"/>
    <w:rsid w:val="000C0263"/>
    <w:rsid w:val="000C2E6C"/>
    <w:rsid w:val="000C3ED2"/>
    <w:rsid w:val="000D32A7"/>
    <w:rsid w:val="000D4A7A"/>
    <w:rsid w:val="000D748E"/>
    <w:rsid w:val="000E665E"/>
    <w:rsid w:val="000F34E3"/>
    <w:rsid w:val="000F4528"/>
    <w:rsid w:val="000F6552"/>
    <w:rsid w:val="000F7A34"/>
    <w:rsid w:val="00104921"/>
    <w:rsid w:val="001069BD"/>
    <w:rsid w:val="00110908"/>
    <w:rsid w:val="00117648"/>
    <w:rsid w:val="00117700"/>
    <w:rsid w:val="0011776D"/>
    <w:rsid w:val="00121EF4"/>
    <w:rsid w:val="00122413"/>
    <w:rsid w:val="001256A9"/>
    <w:rsid w:val="00127570"/>
    <w:rsid w:val="00130CA0"/>
    <w:rsid w:val="001326DA"/>
    <w:rsid w:val="00133365"/>
    <w:rsid w:val="0013349C"/>
    <w:rsid w:val="00136200"/>
    <w:rsid w:val="001373D2"/>
    <w:rsid w:val="00143664"/>
    <w:rsid w:val="00145D9B"/>
    <w:rsid w:val="00145F56"/>
    <w:rsid w:val="001506D1"/>
    <w:rsid w:val="00154952"/>
    <w:rsid w:val="00160AB9"/>
    <w:rsid w:val="00164AD1"/>
    <w:rsid w:val="00164B21"/>
    <w:rsid w:val="00165349"/>
    <w:rsid w:val="00175F25"/>
    <w:rsid w:val="0018188C"/>
    <w:rsid w:val="0018536C"/>
    <w:rsid w:val="001949C3"/>
    <w:rsid w:val="00196596"/>
    <w:rsid w:val="001978BD"/>
    <w:rsid w:val="001B0711"/>
    <w:rsid w:val="001B1BB5"/>
    <w:rsid w:val="001B4617"/>
    <w:rsid w:val="001B4B52"/>
    <w:rsid w:val="001B5CEF"/>
    <w:rsid w:val="001C209F"/>
    <w:rsid w:val="001C2BCD"/>
    <w:rsid w:val="001C2D2D"/>
    <w:rsid w:val="001C2DF4"/>
    <w:rsid w:val="001C63F5"/>
    <w:rsid w:val="001D48A9"/>
    <w:rsid w:val="001D4FE6"/>
    <w:rsid w:val="001E0214"/>
    <w:rsid w:val="001E20F3"/>
    <w:rsid w:val="001E72B1"/>
    <w:rsid w:val="001F0D7E"/>
    <w:rsid w:val="001F491F"/>
    <w:rsid w:val="001F56D6"/>
    <w:rsid w:val="00201A99"/>
    <w:rsid w:val="00210134"/>
    <w:rsid w:val="00212250"/>
    <w:rsid w:val="00213C2B"/>
    <w:rsid w:val="0021654B"/>
    <w:rsid w:val="00223103"/>
    <w:rsid w:val="00227D05"/>
    <w:rsid w:val="00237F62"/>
    <w:rsid w:val="00240641"/>
    <w:rsid w:val="00241E38"/>
    <w:rsid w:val="002423C5"/>
    <w:rsid w:val="0024356E"/>
    <w:rsid w:val="00246972"/>
    <w:rsid w:val="00252C5E"/>
    <w:rsid w:val="00261355"/>
    <w:rsid w:val="00261CCC"/>
    <w:rsid w:val="00266C66"/>
    <w:rsid w:val="00267938"/>
    <w:rsid w:val="00271378"/>
    <w:rsid w:val="00273D8D"/>
    <w:rsid w:val="002757B2"/>
    <w:rsid w:val="00277DD3"/>
    <w:rsid w:val="00280128"/>
    <w:rsid w:val="002824C5"/>
    <w:rsid w:val="00283249"/>
    <w:rsid w:val="0028743E"/>
    <w:rsid w:val="002A1C72"/>
    <w:rsid w:val="002A50A0"/>
    <w:rsid w:val="002A5660"/>
    <w:rsid w:val="002B124F"/>
    <w:rsid w:val="002B1AE6"/>
    <w:rsid w:val="002B1E0F"/>
    <w:rsid w:val="002B6448"/>
    <w:rsid w:val="002C51AD"/>
    <w:rsid w:val="002C7040"/>
    <w:rsid w:val="002D2011"/>
    <w:rsid w:val="002D47D5"/>
    <w:rsid w:val="002D583B"/>
    <w:rsid w:val="002E5B24"/>
    <w:rsid w:val="002E6B39"/>
    <w:rsid w:val="002E7BCF"/>
    <w:rsid w:val="002F4C12"/>
    <w:rsid w:val="002F60E4"/>
    <w:rsid w:val="003013B1"/>
    <w:rsid w:val="00302E78"/>
    <w:rsid w:val="00305E42"/>
    <w:rsid w:val="003076EB"/>
    <w:rsid w:val="00307F82"/>
    <w:rsid w:val="003137F4"/>
    <w:rsid w:val="00332094"/>
    <w:rsid w:val="00332ECB"/>
    <w:rsid w:val="003357EB"/>
    <w:rsid w:val="003366D0"/>
    <w:rsid w:val="00337C12"/>
    <w:rsid w:val="00337F8C"/>
    <w:rsid w:val="00340473"/>
    <w:rsid w:val="00343ED1"/>
    <w:rsid w:val="003461EC"/>
    <w:rsid w:val="0034789C"/>
    <w:rsid w:val="00351520"/>
    <w:rsid w:val="0035482A"/>
    <w:rsid w:val="003552D3"/>
    <w:rsid w:val="00362114"/>
    <w:rsid w:val="00363689"/>
    <w:rsid w:val="00363750"/>
    <w:rsid w:val="003648F3"/>
    <w:rsid w:val="00370B94"/>
    <w:rsid w:val="00372ED9"/>
    <w:rsid w:val="003738DB"/>
    <w:rsid w:val="003754F7"/>
    <w:rsid w:val="0038602F"/>
    <w:rsid w:val="00386DF7"/>
    <w:rsid w:val="00387CF7"/>
    <w:rsid w:val="0039256B"/>
    <w:rsid w:val="0039295D"/>
    <w:rsid w:val="003A0748"/>
    <w:rsid w:val="003A2693"/>
    <w:rsid w:val="003B0E43"/>
    <w:rsid w:val="003B3751"/>
    <w:rsid w:val="003C11D6"/>
    <w:rsid w:val="003C5299"/>
    <w:rsid w:val="003C713B"/>
    <w:rsid w:val="003D29C0"/>
    <w:rsid w:val="003D5F79"/>
    <w:rsid w:val="003E34B2"/>
    <w:rsid w:val="003E4E66"/>
    <w:rsid w:val="003E4FC9"/>
    <w:rsid w:val="003E5EE2"/>
    <w:rsid w:val="003E6EE7"/>
    <w:rsid w:val="003E7BE9"/>
    <w:rsid w:val="003E7BF6"/>
    <w:rsid w:val="003F1A8A"/>
    <w:rsid w:val="003F270B"/>
    <w:rsid w:val="003F28B7"/>
    <w:rsid w:val="003F329B"/>
    <w:rsid w:val="003F5D65"/>
    <w:rsid w:val="003F6F6C"/>
    <w:rsid w:val="0040104E"/>
    <w:rsid w:val="00402B73"/>
    <w:rsid w:val="0040503B"/>
    <w:rsid w:val="004070C8"/>
    <w:rsid w:val="00421818"/>
    <w:rsid w:val="00425508"/>
    <w:rsid w:val="0043038A"/>
    <w:rsid w:val="0044032A"/>
    <w:rsid w:val="00443489"/>
    <w:rsid w:val="00446CCD"/>
    <w:rsid w:val="00447F18"/>
    <w:rsid w:val="00452E60"/>
    <w:rsid w:val="00456D7E"/>
    <w:rsid w:val="00457ED7"/>
    <w:rsid w:val="00463E2A"/>
    <w:rsid w:val="00465703"/>
    <w:rsid w:val="00470B84"/>
    <w:rsid w:val="00473294"/>
    <w:rsid w:val="00476763"/>
    <w:rsid w:val="00481BFF"/>
    <w:rsid w:val="0048378B"/>
    <w:rsid w:val="00483B70"/>
    <w:rsid w:val="00484C20"/>
    <w:rsid w:val="0049459B"/>
    <w:rsid w:val="0049487A"/>
    <w:rsid w:val="00495A02"/>
    <w:rsid w:val="004A02BF"/>
    <w:rsid w:val="004A18FF"/>
    <w:rsid w:val="004A6667"/>
    <w:rsid w:val="004A6786"/>
    <w:rsid w:val="004B3017"/>
    <w:rsid w:val="004C0A03"/>
    <w:rsid w:val="004C2C41"/>
    <w:rsid w:val="004C591A"/>
    <w:rsid w:val="004C5B9B"/>
    <w:rsid w:val="004C5F3E"/>
    <w:rsid w:val="004D20E7"/>
    <w:rsid w:val="004D57EA"/>
    <w:rsid w:val="004E01A4"/>
    <w:rsid w:val="004E1641"/>
    <w:rsid w:val="004E2CCE"/>
    <w:rsid w:val="004E2D80"/>
    <w:rsid w:val="004E3606"/>
    <w:rsid w:val="004E3E34"/>
    <w:rsid w:val="004E7115"/>
    <w:rsid w:val="004F41F1"/>
    <w:rsid w:val="004F7242"/>
    <w:rsid w:val="004F7CB1"/>
    <w:rsid w:val="00500EFC"/>
    <w:rsid w:val="00501663"/>
    <w:rsid w:val="005043FF"/>
    <w:rsid w:val="005117B9"/>
    <w:rsid w:val="005228E0"/>
    <w:rsid w:val="005237BE"/>
    <w:rsid w:val="00527230"/>
    <w:rsid w:val="005277E3"/>
    <w:rsid w:val="00536876"/>
    <w:rsid w:val="0053713B"/>
    <w:rsid w:val="00540F98"/>
    <w:rsid w:val="00541D75"/>
    <w:rsid w:val="00542C9B"/>
    <w:rsid w:val="00543447"/>
    <w:rsid w:val="00546BC4"/>
    <w:rsid w:val="00546D3B"/>
    <w:rsid w:val="005478DE"/>
    <w:rsid w:val="005507EB"/>
    <w:rsid w:val="005618A0"/>
    <w:rsid w:val="005659C0"/>
    <w:rsid w:val="00574548"/>
    <w:rsid w:val="00575823"/>
    <w:rsid w:val="005803EC"/>
    <w:rsid w:val="00580FED"/>
    <w:rsid w:val="005821A0"/>
    <w:rsid w:val="00582E2B"/>
    <w:rsid w:val="00594C98"/>
    <w:rsid w:val="005964E3"/>
    <w:rsid w:val="00597472"/>
    <w:rsid w:val="005978EF"/>
    <w:rsid w:val="005979FF"/>
    <w:rsid w:val="005A051F"/>
    <w:rsid w:val="005A0DEC"/>
    <w:rsid w:val="005A1D0F"/>
    <w:rsid w:val="005A2FB2"/>
    <w:rsid w:val="005A7B68"/>
    <w:rsid w:val="005B0187"/>
    <w:rsid w:val="005B122E"/>
    <w:rsid w:val="005B239E"/>
    <w:rsid w:val="005B30BF"/>
    <w:rsid w:val="005B3C49"/>
    <w:rsid w:val="005C2F03"/>
    <w:rsid w:val="005C3983"/>
    <w:rsid w:val="005C3B78"/>
    <w:rsid w:val="005C4FF4"/>
    <w:rsid w:val="005D5487"/>
    <w:rsid w:val="005D78F9"/>
    <w:rsid w:val="005E0564"/>
    <w:rsid w:val="005E50A5"/>
    <w:rsid w:val="005F04A0"/>
    <w:rsid w:val="005F0E8B"/>
    <w:rsid w:val="005F1A25"/>
    <w:rsid w:val="005F62EF"/>
    <w:rsid w:val="0060325E"/>
    <w:rsid w:val="006032D9"/>
    <w:rsid w:val="00607E66"/>
    <w:rsid w:val="006105A2"/>
    <w:rsid w:val="0061351C"/>
    <w:rsid w:val="006135FA"/>
    <w:rsid w:val="00617D7A"/>
    <w:rsid w:val="006223FB"/>
    <w:rsid w:val="00624DE8"/>
    <w:rsid w:val="00626030"/>
    <w:rsid w:val="006260E4"/>
    <w:rsid w:val="00627B53"/>
    <w:rsid w:val="00637C67"/>
    <w:rsid w:val="0064161B"/>
    <w:rsid w:val="006437D0"/>
    <w:rsid w:val="00655F7C"/>
    <w:rsid w:val="00661993"/>
    <w:rsid w:val="006628D2"/>
    <w:rsid w:val="0066518B"/>
    <w:rsid w:val="00672B60"/>
    <w:rsid w:val="00674DC3"/>
    <w:rsid w:val="0068270B"/>
    <w:rsid w:val="00682972"/>
    <w:rsid w:val="006875D9"/>
    <w:rsid w:val="00690F16"/>
    <w:rsid w:val="006952F0"/>
    <w:rsid w:val="006B4A86"/>
    <w:rsid w:val="006C5A65"/>
    <w:rsid w:val="006C5E3F"/>
    <w:rsid w:val="006D56DB"/>
    <w:rsid w:val="006D6A88"/>
    <w:rsid w:val="006D73EC"/>
    <w:rsid w:val="006E0493"/>
    <w:rsid w:val="006E0B03"/>
    <w:rsid w:val="006F2E5B"/>
    <w:rsid w:val="006F43A7"/>
    <w:rsid w:val="006F4D1E"/>
    <w:rsid w:val="006F63ED"/>
    <w:rsid w:val="00701103"/>
    <w:rsid w:val="00705D17"/>
    <w:rsid w:val="0071063A"/>
    <w:rsid w:val="007143E1"/>
    <w:rsid w:val="00716B47"/>
    <w:rsid w:val="00717B7F"/>
    <w:rsid w:val="007210E9"/>
    <w:rsid w:val="0073452E"/>
    <w:rsid w:val="007350F3"/>
    <w:rsid w:val="007352FE"/>
    <w:rsid w:val="00740C47"/>
    <w:rsid w:val="00751C08"/>
    <w:rsid w:val="00756296"/>
    <w:rsid w:val="007600C8"/>
    <w:rsid w:val="007622BD"/>
    <w:rsid w:val="00762907"/>
    <w:rsid w:val="007656BB"/>
    <w:rsid w:val="00766DBA"/>
    <w:rsid w:val="0077120B"/>
    <w:rsid w:val="00775BCD"/>
    <w:rsid w:val="00781B5D"/>
    <w:rsid w:val="00781C95"/>
    <w:rsid w:val="00786A85"/>
    <w:rsid w:val="00786E2E"/>
    <w:rsid w:val="00790254"/>
    <w:rsid w:val="00790E8C"/>
    <w:rsid w:val="0079527B"/>
    <w:rsid w:val="007B1B1B"/>
    <w:rsid w:val="007B4972"/>
    <w:rsid w:val="007B59B7"/>
    <w:rsid w:val="007B5A89"/>
    <w:rsid w:val="007B7136"/>
    <w:rsid w:val="007B7804"/>
    <w:rsid w:val="007C0B75"/>
    <w:rsid w:val="007C22EC"/>
    <w:rsid w:val="007C386B"/>
    <w:rsid w:val="007C571D"/>
    <w:rsid w:val="007C745B"/>
    <w:rsid w:val="007D5A6B"/>
    <w:rsid w:val="007E2260"/>
    <w:rsid w:val="007E7402"/>
    <w:rsid w:val="007F65E3"/>
    <w:rsid w:val="00801B3B"/>
    <w:rsid w:val="00802F99"/>
    <w:rsid w:val="008062CF"/>
    <w:rsid w:val="00806ABC"/>
    <w:rsid w:val="008073B4"/>
    <w:rsid w:val="00810DAA"/>
    <w:rsid w:val="00812190"/>
    <w:rsid w:val="00813350"/>
    <w:rsid w:val="00817C7D"/>
    <w:rsid w:val="00826390"/>
    <w:rsid w:val="00831F14"/>
    <w:rsid w:val="0083472A"/>
    <w:rsid w:val="00841C2A"/>
    <w:rsid w:val="008450AB"/>
    <w:rsid w:val="00847CCE"/>
    <w:rsid w:val="0085134D"/>
    <w:rsid w:val="00851CC1"/>
    <w:rsid w:val="0085281C"/>
    <w:rsid w:val="008560C4"/>
    <w:rsid w:val="00863063"/>
    <w:rsid w:val="00867573"/>
    <w:rsid w:val="00870EB5"/>
    <w:rsid w:val="008731A7"/>
    <w:rsid w:val="0088101A"/>
    <w:rsid w:val="00884AA5"/>
    <w:rsid w:val="00884C8E"/>
    <w:rsid w:val="00896554"/>
    <w:rsid w:val="008A2052"/>
    <w:rsid w:val="008A3A29"/>
    <w:rsid w:val="008A732F"/>
    <w:rsid w:val="008B30A6"/>
    <w:rsid w:val="008B6413"/>
    <w:rsid w:val="008B6421"/>
    <w:rsid w:val="008B71A0"/>
    <w:rsid w:val="008C20E8"/>
    <w:rsid w:val="008C4532"/>
    <w:rsid w:val="008C5A80"/>
    <w:rsid w:val="008D1D43"/>
    <w:rsid w:val="008D3547"/>
    <w:rsid w:val="008E1FC9"/>
    <w:rsid w:val="008E7AE8"/>
    <w:rsid w:val="009015DD"/>
    <w:rsid w:val="0090165F"/>
    <w:rsid w:val="00901F6B"/>
    <w:rsid w:val="0090459D"/>
    <w:rsid w:val="009046B5"/>
    <w:rsid w:val="00911115"/>
    <w:rsid w:val="00914DC6"/>
    <w:rsid w:val="00915ED4"/>
    <w:rsid w:val="00916CB9"/>
    <w:rsid w:val="00922D8F"/>
    <w:rsid w:val="0092592E"/>
    <w:rsid w:val="00925C4C"/>
    <w:rsid w:val="00926201"/>
    <w:rsid w:val="009300FE"/>
    <w:rsid w:val="0093292C"/>
    <w:rsid w:val="00934B85"/>
    <w:rsid w:val="009427BF"/>
    <w:rsid w:val="00945C59"/>
    <w:rsid w:val="00955C12"/>
    <w:rsid w:val="00955E38"/>
    <w:rsid w:val="009575F3"/>
    <w:rsid w:val="009603A3"/>
    <w:rsid w:val="00964149"/>
    <w:rsid w:val="009642BA"/>
    <w:rsid w:val="009675C3"/>
    <w:rsid w:val="009726FB"/>
    <w:rsid w:val="00990FCF"/>
    <w:rsid w:val="00992682"/>
    <w:rsid w:val="009955DF"/>
    <w:rsid w:val="009960CE"/>
    <w:rsid w:val="009A1EBE"/>
    <w:rsid w:val="009A4B9B"/>
    <w:rsid w:val="009A53CF"/>
    <w:rsid w:val="009A7B6E"/>
    <w:rsid w:val="009B1E0D"/>
    <w:rsid w:val="009B30F5"/>
    <w:rsid w:val="009B5474"/>
    <w:rsid w:val="009B7E2D"/>
    <w:rsid w:val="009C7B54"/>
    <w:rsid w:val="009D061B"/>
    <w:rsid w:val="009D1D9C"/>
    <w:rsid w:val="009E11D7"/>
    <w:rsid w:val="009E45EC"/>
    <w:rsid w:val="009E4EBA"/>
    <w:rsid w:val="009F092B"/>
    <w:rsid w:val="009F6915"/>
    <w:rsid w:val="00A111F1"/>
    <w:rsid w:val="00A13007"/>
    <w:rsid w:val="00A1305E"/>
    <w:rsid w:val="00A15DB5"/>
    <w:rsid w:val="00A25AD6"/>
    <w:rsid w:val="00A301CC"/>
    <w:rsid w:val="00A337D6"/>
    <w:rsid w:val="00A348FF"/>
    <w:rsid w:val="00A440E1"/>
    <w:rsid w:val="00A465C7"/>
    <w:rsid w:val="00A46F9B"/>
    <w:rsid w:val="00A50FE5"/>
    <w:rsid w:val="00A5186A"/>
    <w:rsid w:val="00A60E9F"/>
    <w:rsid w:val="00A62A3D"/>
    <w:rsid w:val="00A64ABA"/>
    <w:rsid w:val="00A726F4"/>
    <w:rsid w:val="00A729E2"/>
    <w:rsid w:val="00A763E4"/>
    <w:rsid w:val="00A97B34"/>
    <w:rsid w:val="00AA16F3"/>
    <w:rsid w:val="00AA23BE"/>
    <w:rsid w:val="00AB0E11"/>
    <w:rsid w:val="00AB1819"/>
    <w:rsid w:val="00AB4E78"/>
    <w:rsid w:val="00AB7731"/>
    <w:rsid w:val="00AC1504"/>
    <w:rsid w:val="00AC4BC7"/>
    <w:rsid w:val="00AC6251"/>
    <w:rsid w:val="00AC73A2"/>
    <w:rsid w:val="00AD1475"/>
    <w:rsid w:val="00AD2A9B"/>
    <w:rsid w:val="00AD4F60"/>
    <w:rsid w:val="00AD728B"/>
    <w:rsid w:val="00AE32B8"/>
    <w:rsid w:val="00AE335B"/>
    <w:rsid w:val="00AE49F0"/>
    <w:rsid w:val="00AE4BC5"/>
    <w:rsid w:val="00AE787A"/>
    <w:rsid w:val="00AF316A"/>
    <w:rsid w:val="00B03906"/>
    <w:rsid w:val="00B03EE5"/>
    <w:rsid w:val="00B05186"/>
    <w:rsid w:val="00B171F8"/>
    <w:rsid w:val="00B20387"/>
    <w:rsid w:val="00B21001"/>
    <w:rsid w:val="00B21C1C"/>
    <w:rsid w:val="00B2261E"/>
    <w:rsid w:val="00B22664"/>
    <w:rsid w:val="00B23825"/>
    <w:rsid w:val="00B24782"/>
    <w:rsid w:val="00B313DA"/>
    <w:rsid w:val="00B33EC6"/>
    <w:rsid w:val="00B35F18"/>
    <w:rsid w:val="00B533FD"/>
    <w:rsid w:val="00B5545B"/>
    <w:rsid w:val="00B64788"/>
    <w:rsid w:val="00B64BAF"/>
    <w:rsid w:val="00B66C7B"/>
    <w:rsid w:val="00B76D64"/>
    <w:rsid w:val="00B80F6A"/>
    <w:rsid w:val="00B8121C"/>
    <w:rsid w:val="00B8204A"/>
    <w:rsid w:val="00B8253C"/>
    <w:rsid w:val="00B87B46"/>
    <w:rsid w:val="00B90D3A"/>
    <w:rsid w:val="00B94404"/>
    <w:rsid w:val="00B962B7"/>
    <w:rsid w:val="00BA24F9"/>
    <w:rsid w:val="00BA34F7"/>
    <w:rsid w:val="00BB2EFB"/>
    <w:rsid w:val="00BB31E3"/>
    <w:rsid w:val="00BC3DE9"/>
    <w:rsid w:val="00BD02D3"/>
    <w:rsid w:val="00BD4D0D"/>
    <w:rsid w:val="00BE6804"/>
    <w:rsid w:val="00BE76FC"/>
    <w:rsid w:val="00BE7A61"/>
    <w:rsid w:val="00BF0CB4"/>
    <w:rsid w:val="00BF30E1"/>
    <w:rsid w:val="00C00ACE"/>
    <w:rsid w:val="00C01917"/>
    <w:rsid w:val="00C10A1E"/>
    <w:rsid w:val="00C2150C"/>
    <w:rsid w:val="00C22AF3"/>
    <w:rsid w:val="00C25122"/>
    <w:rsid w:val="00C269F5"/>
    <w:rsid w:val="00C30AD8"/>
    <w:rsid w:val="00C30C9A"/>
    <w:rsid w:val="00C33626"/>
    <w:rsid w:val="00C33B4C"/>
    <w:rsid w:val="00C35659"/>
    <w:rsid w:val="00C40397"/>
    <w:rsid w:val="00C43E1A"/>
    <w:rsid w:val="00C47061"/>
    <w:rsid w:val="00C5536B"/>
    <w:rsid w:val="00C5660A"/>
    <w:rsid w:val="00C70E9E"/>
    <w:rsid w:val="00C75C21"/>
    <w:rsid w:val="00C7788E"/>
    <w:rsid w:val="00C840CA"/>
    <w:rsid w:val="00C8443F"/>
    <w:rsid w:val="00C877E5"/>
    <w:rsid w:val="00C921EB"/>
    <w:rsid w:val="00CB0A5E"/>
    <w:rsid w:val="00CB57C0"/>
    <w:rsid w:val="00CB7475"/>
    <w:rsid w:val="00CC6916"/>
    <w:rsid w:val="00CD30CB"/>
    <w:rsid w:val="00CE2BB4"/>
    <w:rsid w:val="00CE35AA"/>
    <w:rsid w:val="00CE41F0"/>
    <w:rsid w:val="00CE76CF"/>
    <w:rsid w:val="00CF4240"/>
    <w:rsid w:val="00CF4FA1"/>
    <w:rsid w:val="00CF6C48"/>
    <w:rsid w:val="00CF7184"/>
    <w:rsid w:val="00D006C4"/>
    <w:rsid w:val="00D032B2"/>
    <w:rsid w:val="00D06204"/>
    <w:rsid w:val="00D15A5D"/>
    <w:rsid w:val="00D22CB3"/>
    <w:rsid w:val="00D2455B"/>
    <w:rsid w:val="00D318FB"/>
    <w:rsid w:val="00D33150"/>
    <w:rsid w:val="00D33B91"/>
    <w:rsid w:val="00D3635E"/>
    <w:rsid w:val="00D4288B"/>
    <w:rsid w:val="00D43FFF"/>
    <w:rsid w:val="00D451EE"/>
    <w:rsid w:val="00D46E20"/>
    <w:rsid w:val="00D62F43"/>
    <w:rsid w:val="00D6483F"/>
    <w:rsid w:val="00D64A9B"/>
    <w:rsid w:val="00D66A80"/>
    <w:rsid w:val="00D7133A"/>
    <w:rsid w:val="00D71EC9"/>
    <w:rsid w:val="00D75E48"/>
    <w:rsid w:val="00D75F5B"/>
    <w:rsid w:val="00D901D3"/>
    <w:rsid w:val="00D91066"/>
    <w:rsid w:val="00D9174B"/>
    <w:rsid w:val="00DA61EE"/>
    <w:rsid w:val="00DB33AC"/>
    <w:rsid w:val="00DC034D"/>
    <w:rsid w:val="00DC16E4"/>
    <w:rsid w:val="00DC74BD"/>
    <w:rsid w:val="00DC7DBE"/>
    <w:rsid w:val="00DD0B48"/>
    <w:rsid w:val="00DD37FB"/>
    <w:rsid w:val="00DD3ADD"/>
    <w:rsid w:val="00DE044D"/>
    <w:rsid w:val="00DE09A8"/>
    <w:rsid w:val="00DE789D"/>
    <w:rsid w:val="00DF21A1"/>
    <w:rsid w:val="00E002B0"/>
    <w:rsid w:val="00E00451"/>
    <w:rsid w:val="00E10294"/>
    <w:rsid w:val="00E14485"/>
    <w:rsid w:val="00E14BCB"/>
    <w:rsid w:val="00E173FA"/>
    <w:rsid w:val="00E2255C"/>
    <w:rsid w:val="00E32912"/>
    <w:rsid w:val="00E400E9"/>
    <w:rsid w:val="00E40747"/>
    <w:rsid w:val="00E40F07"/>
    <w:rsid w:val="00E45362"/>
    <w:rsid w:val="00E6093B"/>
    <w:rsid w:val="00E62DA2"/>
    <w:rsid w:val="00E66E13"/>
    <w:rsid w:val="00E73D22"/>
    <w:rsid w:val="00E77BB6"/>
    <w:rsid w:val="00E93BDD"/>
    <w:rsid w:val="00E9568C"/>
    <w:rsid w:val="00EA004A"/>
    <w:rsid w:val="00EA1F34"/>
    <w:rsid w:val="00EA31C6"/>
    <w:rsid w:val="00EB5B41"/>
    <w:rsid w:val="00EB6A9B"/>
    <w:rsid w:val="00EB73A5"/>
    <w:rsid w:val="00EC19E3"/>
    <w:rsid w:val="00EC4758"/>
    <w:rsid w:val="00EC521A"/>
    <w:rsid w:val="00EC6362"/>
    <w:rsid w:val="00EC6F97"/>
    <w:rsid w:val="00EC7072"/>
    <w:rsid w:val="00ED764B"/>
    <w:rsid w:val="00ED76AB"/>
    <w:rsid w:val="00EE3839"/>
    <w:rsid w:val="00EE3A24"/>
    <w:rsid w:val="00EE44AC"/>
    <w:rsid w:val="00EE74F5"/>
    <w:rsid w:val="00EE7E3A"/>
    <w:rsid w:val="00EE7F6C"/>
    <w:rsid w:val="00EF3D79"/>
    <w:rsid w:val="00F01745"/>
    <w:rsid w:val="00F04671"/>
    <w:rsid w:val="00F05AC6"/>
    <w:rsid w:val="00F12DF1"/>
    <w:rsid w:val="00F1712B"/>
    <w:rsid w:val="00F172C1"/>
    <w:rsid w:val="00F17E57"/>
    <w:rsid w:val="00F17F04"/>
    <w:rsid w:val="00F205E2"/>
    <w:rsid w:val="00F25399"/>
    <w:rsid w:val="00F31F55"/>
    <w:rsid w:val="00F3280D"/>
    <w:rsid w:val="00F34F04"/>
    <w:rsid w:val="00F408CE"/>
    <w:rsid w:val="00F4393D"/>
    <w:rsid w:val="00F43B3A"/>
    <w:rsid w:val="00F55594"/>
    <w:rsid w:val="00F567B5"/>
    <w:rsid w:val="00F63CCB"/>
    <w:rsid w:val="00F67C0A"/>
    <w:rsid w:val="00F71798"/>
    <w:rsid w:val="00F739E7"/>
    <w:rsid w:val="00F85656"/>
    <w:rsid w:val="00F86F55"/>
    <w:rsid w:val="00F920DB"/>
    <w:rsid w:val="00F96185"/>
    <w:rsid w:val="00FA423A"/>
    <w:rsid w:val="00FA4F88"/>
    <w:rsid w:val="00FA4FE6"/>
    <w:rsid w:val="00FA6D68"/>
    <w:rsid w:val="00FB55BD"/>
    <w:rsid w:val="00FB64D2"/>
    <w:rsid w:val="00FC0581"/>
    <w:rsid w:val="00FC1101"/>
    <w:rsid w:val="00FC1692"/>
    <w:rsid w:val="00FC24B6"/>
    <w:rsid w:val="00FC595C"/>
    <w:rsid w:val="00FC6F9A"/>
    <w:rsid w:val="00FD7F61"/>
    <w:rsid w:val="00FE3026"/>
    <w:rsid w:val="00FE383E"/>
    <w:rsid w:val="00FF0C15"/>
    <w:rsid w:val="00FF1B99"/>
    <w:rsid w:val="00FF3395"/>
    <w:rsid w:val="00FF6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32680"/>
  <w15:chartTrackingRefBased/>
  <w15:docId w15:val="{69D97C53-15B9-BD45-AB1A-D43EC613C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5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45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D9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D9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D9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D9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E1FC9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1FC9"/>
    <w:rPr>
      <w:rFonts w:ascii="Times New Roman" w:hAnsi="Times New Roman" w:cs="Times New Roman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145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5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45D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D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D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D9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D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D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D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D9B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145D9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45D9B"/>
    <w:rPr>
      <w:b/>
      <w:bCs/>
    </w:rPr>
  </w:style>
  <w:style w:type="character" w:styleId="Emphasis">
    <w:name w:val="Emphasis"/>
    <w:basedOn w:val="DefaultParagraphFont"/>
    <w:uiPriority w:val="20"/>
    <w:qFormat/>
    <w:rsid w:val="00145D9B"/>
    <w:rPr>
      <w:i/>
      <w:iCs/>
    </w:rPr>
  </w:style>
  <w:style w:type="paragraph" w:customStyle="1" w:styleId="EndNoteBibliographyTitle">
    <w:name w:val="EndNote Bibliography Title"/>
    <w:basedOn w:val="Normal"/>
    <w:link w:val="EndNoteBibliographyTitleChar"/>
    <w:rsid w:val="000D748E"/>
    <w:pPr>
      <w:jc w:val="center"/>
    </w:pPr>
    <w:rPr>
      <w:rFonts w:ascii="Times New Roman" w:hAnsi="Times New Roman" w:cs="Times New Roman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0D748E"/>
    <w:rPr>
      <w:rFonts w:ascii="Times New Roman" w:hAnsi="Times New Roman" w:cs="Times New Roman"/>
    </w:rPr>
  </w:style>
  <w:style w:type="paragraph" w:customStyle="1" w:styleId="EndNoteBibliography">
    <w:name w:val="EndNote Bibliography"/>
    <w:basedOn w:val="Normal"/>
    <w:link w:val="EndNoteBibliographyChar"/>
    <w:rsid w:val="000D748E"/>
    <w:rPr>
      <w:rFonts w:ascii="Times New Roman" w:hAnsi="Times New Roman" w:cs="Times New Roman"/>
    </w:rPr>
  </w:style>
  <w:style w:type="character" w:customStyle="1" w:styleId="EndNoteBibliographyChar">
    <w:name w:val="EndNote Bibliography Char"/>
    <w:basedOn w:val="DefaultParagraphFont"/>
    <w:link w:val="EndNoteBibliography"/>
    <w:rsid w:val="000D748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506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Thaker, Vidhu V.</dc:creator>
  <cp:keywords/>
  <dc:description/>
  <cp:lastModifiedBy>Gu, Wanjun</cp:lastModifiedBy>
  <cp:revision>13</cp:revision>
  <dcterms:created xsi:type="dcterms:W3CDTF">2026-04-25T11:12:00Z</dcterms:created>
  <dcterms:modified xsi:type="dcterms:W3CDTF">2026-05-12T05:44:00Z</dcterms:modified>
</cp:coreProperties>
</file>