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883E" w14:textId="526AE322" w:rsidR="0087419F" w:rsidRDefault="0087419F" w:rsidP="00765774">
      <w:pPr>
        <w:rPr>
          <w:rFonts w:ascii="Arial" w:hAnsi="Arial" w:cs="Arial"/>
          <w:b/>
          <w:bCs/>
          <w:sz w:val="22"/>
          <w:szCs w:val="22"/>
          <w:lang w:val="en-US"/>
        </w:rPr>
      </w:pPr>
      <w:r>
        <w:rPr>
          <w:rFonts w:ascii="Arial" w:hAnsi="Arial" w:cs="Arial"/>
          <w:b/>
          <w:bCs/>
          <w:sz w:val="22"/>
          <w:szCs w:val="22"/>
          <w:lang w:val="en-US"/>
        </w:rPr>
        <w:t xml:space="preserve">Additional </w:t>
      </w:r>
      <w:r w:rsidR="00A20850">
        <w:rPr>
          <w:rFonts w:ascii="Arial" w:hAnsi="Arial" w:cs="Arial"/>
          <w:b/>
          <w:bCs/>
          <w:sz w:val="22"/>
          <w:szCs w:val="22"/>
          <w:lang w:val="en-US"/>
        </w:rPr>
        <w:t>Network Analysis Writeup</w:t>
      </w:r>
    </w:p>
    <w:p w14:paraId="788017D6" w14:textId="77777777" w:rsidR="0087419F" w:rsidRDefault="0087419F" w:rsidP="00765774">
      <w:pPr>
        <w:rPr>
          <w:rFonts w:ascii="Arial" w:hAnsi="Arial" w:cs="Arial"/>
          <w:b/>
          <w:bCs/>
          <w:sz w:val="22"/>
          <w:szCs w:val="22"/>
          <w:lang w:val="en-US"/>
        </w:rPr>
      </w:pPr>
    </w:p>
    <w:p w14:paraId="3FD92529" w14:textId="77777777" w:rsidR="0087419F" w:rsidRDefault="0087419F" w:rsidP="00765774">
      <w:pPr>
        <w:rPr>
          <w:rFonts w:ascii="Arial" w:hAnsi="Arial" w:cs="Arial"/>
          <w:b/>
          <w:bCs/>
          <w:sz w:val="22"/>
          <w:szCs w:val="22"/>
          <w:lang w:val="en-US"/>
        </w:rPr>
      </w:pPr>
    </w:p>
    <w:p w14:paraId="1CEBEB26" w14:textId="00AE755D" w:rsidR="003E0EDB" w:rsidRPr="00140E9E" w:rsidRDefault="00530A7F" w:rsidP="00765774">
      <w:pPr>
        <w:rPr>
          <w:rFonts w:ascii="Arial" w:hAnsi="Arial" w:cs="Arial"/>
          <w:sz w:val="22"/>
          <w:szCs w:val="22"/>
          <w:lang w:val="en-US"/>
        </w:rPr>
      </w:pPr>
      <w:r w:rsidRPr="00140E9E">
        <w:rPr>
          <w:rFonts w:ascii="Arial" w:hAnsi="Arial" w:cs="Arial"/>
          <w:b/>
          <w:bCs/>
          <w:sz w:val="22"/>
          <w:szCs w:val="22"/>
          <w:lang w:val="en-US"/>
        </w:rPr>
        <w:t xml:space="preserve">Figure 2D. Metabolite-centric biological knowledge network of the MetRS. </w:t>
      </w:r>
      <w:r w:rsidRPr="00140E9E">
        <w:rPr>
          <w:rFonts w:ascii="Arial" w:hAnsi="Arial" w:cs="Arial"/>
          <w:sz w:val="22"/>
          <w:szCs w:val="22"/>
          <w:lang w:val="en-US"/>
        </w:rPr>
        <w:t xml:space="preserve">A heterogeneous undirected network graph representing the biological context of the 15 MetRS compounds (14 scored metabolites plus DMGV, retained for network completeness), constructed from first-degree neighbor relationships retrieved from a heterogeneous biological knowledge graph. The network comprises 169 nodes and 235 edges spanning six node types colored by type: MetRS compounds (red), genes (blue), proteins (green), canonical pathways (orange), biological processes (purple), and disease entities (gold). Node size distinguishes biologically salient highlighted nodes from background context nodes; highlighted nodes include all MetRS compound seeds, key genes and transcription factors (e.g., </w:t>
      </w:r>
      <w:r w:rsidRPr="00140E9E">
        <w:rPr>
          <w:rFonts w:ascii="Arial" w:hAnsi="Arial" w:cs="Arial"/>
          <w:i/>
          <w:iCs/>
          <w:sz w:val="22"/>
          <w:szCs w:val="22"/>
          <w:lang w:val="en-US"/>
        </w:rPr>
        <w:t>GCG</w:t>
      </w:r>
      <w:r w:rsidRPr="00140E9E">
        <w:rPr>
          <w:rFonts w:ascii="Arial" w:hAnsi="Arial" w:cs="Arial"/>
          <w:sz w:val="22"/>
          <w:szCs w:val="22"/>
          <w:lang w:val="en-US"/>
        </w:rPr>
        <w:t xml:space="preserve">, </w:t>
      </w:r>
      <w:r w:rsidRPr="00140E9E">
        <w:rPr>
          <w:rFonts w:ascii="Arial" w:hAnsi="Arial" w:cs="Arial"/>
          <w:i/>
          <w:iCs/>
          <w:sz w:val="22"/>
          <w:szCs w:val="22"/>
          <w:lang w:val="en-US"/>
        </w:rPr>
        <w:t>NOS3</w:t>
      </w:r>
      <w:r w:rsidRPr="00140E9E">
        <w:rPr>
          <w:rFonts w:ascii="Arial" w:hAnsi="Arial" w:cs="Arial"/>
          <w:sz w:val="22"/>
          <w:szCs w:val="22"/>
          <w:lang w:val="en-US"/>
        </w:rPr>
        <w:t xml:space="preserve">, </w:t>
      </w:r>
      <w:r w:rsidRPr="00140E9E">
        <w:rPr>
          <w:rFonts w:ascii="Arial" w:hAnsi="Arial" w:cs="Arial"/>
          <w:i/>
          <w:iCs/>
          <w:sz w:val="22"/>
          <w:szCs w:val="22"/>
          <w:lang w:val="en-US"/>
        </w:rPr>
        <w:t>PPARG</w:t>
      </w:r>
      <w:r w:rsidRPr="00140E9E">
        <w:rPr>
          <w:rFonts w:ascii="Arial" w:hAnsi="Arial" w:cs="Arial"/>
          <w:sz w:val="22"/>
          <w:szCs w:val="22"/>
          <w:lang w:val="en-US"/>
        </w:rPr>
        <w:t xml:space="preserve">, </w:t>
      </w:r>
      <w:r w:rsidRPr="00140E9E">
        <w:rPr>
          <w:rFonts w:ascii="Arial" w:hAnsi="Arial" w:cs="Arial"/>
          <w:i/>
          <w:iCs/>
          <w:sz w:val="22"/>
          <w:szCs w:val="22"/>
          <w:lang w:val="en-US"/>
        </w:rPr>
        <w:t>TDO2</w:t>
      </w:r>
      <w:r w:rsidRPr="00140E9E">
        <w:rPr>
          <w:rFonts w:ascii="Arial" w:hAnsi="Arial" w:cs="Arial"/>
          <w:sz w:val="22"/>
          <w:szCs w:val="22"/>
          <w:lang w:val="en-US"/>
        </w:rPr>
        <w:t xml:space="preserve">, </w:t>
      </w:r>
      <w:r w:rsidRPr="00140E9E">
        <w:rPr>
          <w:rFonts w:ascii="Arial" w:hAnsi="Arial" w:cs="Arial"/>
          <w:i/>
          <w:iCs/>
          <w:sz w:val="22"/>
          <w:szCs w:val="22"/>
          <w:lang w:val="en-US"/>
        </w:rPr>
        <w:t>PPARA</w:t>
      </w:r>
      <w:r w:rsidRPr="00140E9E">
        <w:rPr>
          <w:rFonts w:ascii="Arial" w:hAnsi="Arial" w:cs="Arial"/>
          <w:sz w:val="22"/>
          <w:szCs w:val="22"/>
          <w:lang w:val="en-US"/>
        </w:rPr>
        <w:t>), and selected disease, pathway, and biological process nodes of established relevance to obesity and bariatric surgery outcomes. Graph layout was computed using the Kamada-Kawai force-directed algorithm, which positions nodes to reflect path-length distances in the graph.</w:t>
      </w:r>
    </w:p>
    <w:p w14:paraId="3FA17205" w14:textId="77777777" w:rsidR="00530A7F" w:rsidRPr="00140E9E" w:rsidRDefault="00530A7F" w:rsidP="00765774">
      <w:pPr>
        <w:rPr>
          <w:rFonts w:ascii="Arial" w:hAnsi="Arial" w:cs="Arial"/>
          <w:sz w:val="22"/>
          <w:szCs w:val="22"/>
          <w:lang w:val="en-US"/>
        </w:rPr>
      </w:pPr>
    </w:p>
    <w:p w14:paraId="7F0A7DFC" w14:textId="51603E61" w:rsidR="00140E9E" w:rsidRPr="00140E9E" w:rsidRDefault="00140E9E" w:rsidP="00765774">
      <w:pPr>
        <w:rPr>
          <w:rFonts w:ascii="Arial" w:hAnsi="Arial" w:cs="Arial"/>
          <w:sz w:val="22"/>
          <w:szCs w:val="22"/>
          <w:lang w:val="en-US"/>
        </w:rPr>
      </w:pPr>
      <w:r w:rsidRPr="00140E9E">
        <w:rPr>
          <w:rFonts w:ascii="Arial" w:hAnsi="Arial" w:cs="Arial"/>
          <w:b/>
          <w:bCs/>
          <w:sz w:val="22"/>
          <w:szCs w:val="22"/>
          <w:lang w:val="en-US"/>
        </w:rPr>
        <w:t>Figure 2E.</w:t>
      </w:r>
      <w:r w:rsidRPr="00140E9E">
        <w:rPr>
          <w:rFonts w:ascii="Arial" w:hAnsi="Arial" w:cs="Arial"/>
          <w:sz w:val="22"/>
          <w:szCs w:val="22"/>
          <w:lang w:val="en-US"/>
        </w:rPr>
        <w:t xml:space="preserve"> Top bridge nodes per node type by normalized betweenness centrality. Bar charts show the five highest-betweenness nodes within each of six categories (Compound, Gene, Protein, Disease, Biological</w:t>
      </w:r>
      <w:r>
        <w:rPr>
          <w:rFonts w:ascii="Arial" w:hAnsi="Arial" w:cs="Arial"/>
          <w:sz w:val="22"/>
          <w:szCs w:val="22"/>
          <w:lang w:val="en-US"/>
        </w:rPr>
        <w:t xml:space="preserve"> </w:t>
      </w:r>
      <w:r w:rsidRPr="00140E9E">
        <w:rPr>
          <w:rFonts w:ascii="Arial" w:hAnsi="Arial" w:cs="Arial"/>
          <w:sz w:val="22"/>
          <w:szCs w:val="22"/>
          <w:lang w:val="en-US"/>
        </w:rPr>
        <w:t>Process, Pathway), ranked by normalized betweenness centrality as a measure of cross-network bridging influence</w:t>
      </w:r>
      <w:r>
        <w:rPr>
          <w:rFonts w:ascii="Arial" w:hAnsi="Arial" w:cs="Arial"/>
          <w:sz w:val="22"/>
          <w:szCs w:val="22"/>
          <w:lang w:val="en-US"/>
        </w:rPr>
        <w:t>. Obesity was the dominant disease bridge node (betweenness 0.36), and malonic acid the top compound bridge (0.27).</w:t>
      </w:r>
    </w:p>
    <w:p w14:paraId="25B9983C" w14:textId="77777777" w:rsidR="00530A7F" w:rsidRPr="00140E9E" w:rsidRDefault="00530A7F" w:rsidP="00765774">
      <w:pPr>
        <w:rPr>
          <w:rFonts w:ascii="Arial" w:hAnsi="Arial" w:cs="Arial"/>
          <w:sz w:val="22"/>
          <w:szCs w:val="22"/>
          <w:lang w:val="en-US"/>
        </w:rPr>
      </w:pPr>
    </w:p>
    <w:p w14:paraId="3A08E7BE" w14:textId="77777777" w:rsidR="00530A7F" w:rsidRPr="00140E9E" w:rsidRDefault="00530A7F" w:rsidP="00765774">
      <w:pPr>
        <w:rPr>
          <w:rFonts w:ascii="Arial" w:hAnsi="Arial" w:cs="Arial"/>
          <w:sz w:val="22"/>
          <w:szCs w:val="22"/>
          <w:lang w:val="en-US"/>
        </w:rPr>
      </w:pPr>
    </w:p>
    <w:p w14:paraId="424A86C2" w14:textId="77777777" w:rsidR="00530A7F" w:rsidRPr="00140E9E" w:rsidRDefault="00530A7F" w:rsidP="00765774">
      <w:pPr>
        <w:rPr>
          <w:rFonts w:ascii="Arial" w:hAnsi="Arial" w:cs="Arial"/>
          <w:b/>
          <w:bCs/>
          <w:sz w:val="22"/>
          <w:szCs w:val="22"/>
          <w:lang w:val="en-US"/>
        </w:rPr>
      </w:pPr>
    </w:p>
    <w:p w14:paraId="0F69973B" w14:textId="6C6C970E" w:rsidR="00765774" w:rsidRPr="00140E9E" w:rsidRDefault="00765774" w:rsidP="00765774">
      <w:pPr>
        <w:rPr>
          <w:rFonts w:ascii="Arial" w:hAnsi="Arial" w:cs="Arial"/>
          <w:b/>
          <w:bCs/>
          <w:sz w:val="22"/>
          <w:szCs w:val="22"/>
          <w:lang w:val="en-US"/>
        </w:rPr>
      </w:pPr>
      <w:r w:rsidRPr="00140E9E">
        <w:rPr>
          <w:rFonts w:ascii="Arial" w:hAnsi="Arial" w:cs="Arial"/>
          <w:b/>
          <w:bCs/>
          <w:sz w:val="22"/>
          <w:szCs w:val="22"/>
          <w:lang w:val="en-US"/>
        </w:rPr>
        <w:t>Methods</w:t>
      </w:r>
    </w:p>
    <w:p w14:paraId="439E6752" w14:textId="0AA3871B" w:rsidR="00765774" w:rsidRPr="00140E9E" w:rsidRDefault="008905B6" w:rsidP="00765774">
      <w:pPr>
        <w:pStyle w:val="NormalWeb"/>
        <w:shd w:val="clear" w:color="auto" w:fill="FFFFFF"/>
        <w:spacing w:before="225" w:after="225"/>
        <w:rPr>
          <w:rFonts w:ascii="Arial" w:hAnsi="Arial" w:cs="Arial"/>
          <w:color w:val="000000"/>
          <w:sz w:val="22"/>
          <w:szCs w:val="22"/>
          <w:lang w:val="en-US"/>
        </w:rPr>
      </w:pPr>
      <w:bookmarkStart w:id="0" w:name="OLE_LINK1"/>
      <w:r w:rsidRPr="008905B6">
        <w:rPr>
          <w:rFonts w:ascii="Arial" w:hAnsi="Arial" w:cs="Arial"/>
          <w:color w:val="000000"/>
          <w:sz w:val="22"/>
          <w:szCs w:val="22"/>
          <w:lang w:val="en-US"/>
        </w:rPr>
        <w:t xml:space="preserve">We used the Scalable Precision Medicine Open Knowledge Engine (SPOKE), a heterogeneous biomedical knowledge graph comprising approximately 40 million nodes and 198 million edges, which integrates compounds, genes, human proteins, Gene Ontology biological processes and molecular functions, </w:t>
      </w:r>
      <w:proofErr w:type="spellStart"/>
      <w:r w:rsidRPr="008905B6">
        <w:rPr>
          <w:rFonts w:ascii="Arial" w:hAnsi="Arial" w:cs="Arial"/>
          <w:color w:val="000000"/>
          <w:sz w:val="22"/>
          <w:szCs w:val="22"/>
          <w:lang w:val="en-US"/>
        </w:rPr>
        <w:t>WikiPathways</w:t>
      </w:r>
      <w:proofErr w:type="spellEnd"/>
      <w:r w:rsidRPr="008905B6">
        <w:rPr>
          <w:rFonts w:ascii="Arial" w:hAnsi="Arial" w:cs="Arial"/>
          <w:color w:val="000000"/>
          <w:sz w:val="22"/>
          <w:szCs w:val="22"/>
          <w:lang w:val="en-US"/>
        </w:rPr>
        <w:t xml:space="preserve"> and </w:t>
      </w:r>
      <w:proofErr w:type="spellStart"/>
      <w:r w:rsidRPr="008905B6">
        <w:rPr>
          <w:rFonts w:ascii="Arial" w:hAnsi="Arial" w:cs="Arial"/>
          <w:color w:val="000000"/>
          <w:sz w:val="22"/>
          <w:szCs w:val="22"/>
          <w:lang w:val="en-US"/>
        </w:rPr>
        <w:t>Reactome</w:t>
      </w:r>
      <w:proofErr w:type="spellEnd"/>
      <w:r w:rsidRPr="008905B6">
        <w:rPr>
          <w:rFonts w:ascii="Arial" w:hAnsi="Arial" w:cs="Arial"/>
          <w:color w:val="000000"/>
          <w:sz w:val="22"/>
          <w:szCs w:val="22"/>
          <w:lang w:val="en-US"/>
        </w:rPr>
        <w:t xml:space="preserve"> pathways, and</w:t>
      </w:r>
      <w:r>
        <w:rPr>
          <w:rFonts w:ascii="Arial" w:hAnsi="Arial" w:cs="Arial"/>
          <w:color w:val="000000"/>
          <w:sz w:val="22"/>
          <w:szCs w:val="22"/>
          <w:lang w:val="en-US"/>
        </w:rPr>
        <w:t xml:space="preserve"> </w:t>
      </w:r>
      <w:r w:rsidRPr="008905B6">
        <w:rPr>
          <w:rFonts w:ascii="Arial" w:hAnsi="Arial" w:cs="Arial"/>
          <w:color w:val="000000"/>
          <w:sz w:val="22"/>
          <w:szCs w:val="22"/>
          <w:lang w:val="en-US"/>
        </w:rPr>
        <w:t>indexed disease terms</w:t>
      </w:r>
      <w:r>
        <w:rPr>
          <w:rFonts w:ascii="Arial" w:hAnsi="Arial" w:cs="Arial"/>
          <w:color w:val="000000"/>
          <w:sz w:val="22"/>
          <w:szCs w:val="22"/>
          <w:lang w:val="en-US"/>
        </w:rPr>
        <w:t xml:space="preserve"> from </w:t>
      </w:r>
      <w:r>
        <w:rPr>
          <w:rFonts w:ascii="Arial" w:hAnsi="Arial" w:cs="Arial"/>
          <w:color w:val="000000"/>
          <w:sz w:val="22"/>
          <w:szCs w:val="22"/>
          <w:lang w:val="en-US"/>
        </w:rPr>
        <w:t>disease ontology</w:t>
      </w:r>
      <w:r w:rsidRPr="008905B6">
        <w:rPr>
          <w:rFonts w:ascii="Arial" w:hAnsi="Arial" w:cs="Arial"/>
          <w:color w:val="000000"/>
          <w:sz w:val="22"/>
          <w:szCs w:val="22"/>
          <w:lang w:val="en-US"/>
        </w:rPr>
        <w:t>, with curated relationships drawn from more than forty primary resources (Morris et al., 2023). The analytical seed consisted of the fifteen MetRS seed compounds (fourteen scored metabolites plus DMGV)</w:t>
      </w:r>
      <w:r w:rsidR="00C63333">
        <w:rPr>
          <w:rFonts w:ascii="Arial" w:hAnsi="Arial" w:cs="Arial"/>
          <w:color w:val="000000"/>
          <w:sz w:val="22"/>
          <w:szCs w:val="22"/>
          <w:lang w:val="en-US"/>
        </w:rPr>
        <w:t xml:space="preserve"> successfully mapped to the knowledge graph</w:t>
      </w:r>
      <w:r w:rsidRPr="008905B6">
        <w:rPr>
          <w:rFonts w:ascii="Arial" w:hAnsi="Arial" w:cs="Arial"/>
          <w:color w:val="000000"/>
          <w:sz w:val="22"/>
          <w:szCs w:val="22"/>
          <w:lang w:val="en-US"/>
        </w:rPr>
        <w:t xml:space="preserve">. Two traversals were performed and their results combined. First, for each seed metabolite, curated first-degree neighbors were retrieved across the node </w:t>
      </w:r>
      <w:r w:rsidRPr="008905B6">
        <w:rPr>
          <w:rFonts w:ascii="Arial" w:hAnsi="Arial" w:cs="Arial"/>
          <w:color w:val="000000"/>
          <w:sz w:val="22"/>
          <w:szCs w:val="22"/>
          <w:lang w:val="en-US"/>
        </w:rPr>
        <w:t>types of</w:t>
      </w:r>
      <w:r w:rsidRPr="008905B6">
        <w:rPr>
          <w:rFonts w:ascii="Arial" w:hAnsi="Arial" w:cs="Arial"/>
          <w:color w:val="000000"/>
          <w:sz w:val="22"/>
          <w:szCs w:val="22"/>
          <w:lang w:val="en-US"/>
        </w:rPr>
        <w:t xml:space="preserve"> Gene, Protein, Biological process, Pathway, and Disease. Second, for every ordered pair of seed metabolites, the shortest path of length ≤ 5 was extracted under two constraints: (</w:t>
      </w:r>
      <w:proofErr w:type="spellStart"/>
      <w:r w:rsidRPr="008905B6">
        <w:rPr>
          <w:rFonts w:ascii="Arial" w:hAnsi="Arial" w:cs="Arial"/>
          <w:color w:val="000000"/>
          <w:sz w:val="22"/>
          <w:szCs w:val="22"/>
          <w:lang w:val="en-US"/>
        </w:rPr>
        <w:t>i</w:t>
      </w:r>
      <w:proofErr w:type="spellEnd"/>
      <w:r w:rsidRPr="008905B6">
        <w:rPr>
          <w:rFonts w:ascii="Arial" w:hAnsi="Arial" w:cs="Arial"/>
          <w:color w:val="000000"/>
          <w:sz w:val="22"/>
          <w:szCs w:val="22"/>
          <w:lang w:val="en-US"/>
        </w:rPr>
        <w:t xml:space="preserve">) intermediate nodes were restricted to Compound, Gene, human Protein, Biological process, Molecular function, Pathway, Disease, and Protein domain; (ii) any Protein node was required to be a human protein. Shortest-path extraction across all 105 ordered pairs generated a Steiner-tree approximation of the shared biological context. Every node in the resulting subgraph was characterized by degree, normalized betweenness centrality (the standard bridge-node metric in network medicine, </w:t>
      </w:r>
      <w:proofErr w:type="spellStart"/>
      <w:r w:rsidRPr="008905B6">
        <w:rPr>
          <w:rFonts w:ascii="Arial" w:hAnsi="Arial" w:cs="Arial"/>
          <w:color w:val="000000"/>
          <w:sz w:val="22"/>
          <w:szCs w:val="22"/>
          <w:lang w:val="en-US"/>
        </w:rPr>
        <w:t>Barabási</w:t>
      </w:r>
      <w:proofErr w:type="spellEnd"/>
      <w:r w:rsidRPr="008905B6">
        <w:rPr>
          <w:rFonts w:ascii="Arial" w:hAnsi="Arial" w:cs="Arial"/>
          <w:color w:val="000000"/>
          <w:sz w:val="22"/>
          <w:szCs w:val="22"/>
          <w:lang w:val="en-US"/>
        </w:rPr>
        <w:t xml:space="preserve"> et al., 2011), and PageRank.</w:t>
      </w:r>
    </w:p>
    <w:bookmarkEnd w:id="0"/>
    <w:p w14:paraId="2720AAB2" w14:textId="77777777" w:rsidR="00765774" w:rsidRPr="00140E9E" w:rsidRDefault="00765774">
      <w:pPr>
        <w:rPr>
          <w:rFonts w:ascii="Arial" w:hAnsi="Arial" w:cs="Arial"/>
          <w:b/>
          <w:bCs/>
          <w:sz w:val="22"/>
          <w:szCs w:val="22"/>
          <w:lang w:val="en-US"/>
        </w:rPr>
      </w:pPr>
    </w:p>
    <w:p w14:paraId="44EE8673" w14:textId="5AD09AC4" w:rsidR="00C63333" w:rsidRDefault="00765774" w:rsidP="0087419F">
      <w:pPr>
        <w:rPr>
          <w:rFonts w:ascii="Arial" w:hAnsi="Arial" w:cs="Arial"/>
          <w:b/>
          <w:bCs/>
          <w:sz w:val="22"/>
          <w:szCs w:val="22"/>
          <w:lang w:val="en-US"/>
        </w:rPr>
      </w:pPr>
      <w:r w:rsidRPr="00140E9E">
        <w:rPr>
          <w:rFonts w:ascii="Arial" w:hAnsi="Arial" w:cs="Arial"/>
          <w:b/>
          <w:bCs/>
          <w:sz w:val="22"/>
          <w:szCs w:val="22"/>
          <w:lang w:val="en-US"/>
        </w:rPr>
        <w:t>Results</w:t>
      </w:r>
    </w:p>
    <w:p w14:paraId="757C7EDD" w14:textId="77777777" w:rsidR="00C63333" w:rsidRPr="00C63333" w:rsidRDefault="00C63333" w:rsidP="00C63333">
      <w:pPr>
        <w:pStyle w:val="NormalWeb"/>
        <w:shd w:val="clear" w:color="auto" w:fill="FFFFFF"/>
        <w:spacing w:before="225" w:after="225"/>
        <w:rPr>
          <w:rFonts w:ascii="Arial" w:hAnsi="Arial" w:cs="Arial"/>
          <w:sz w:val="22"/>
          <w:szCs w:val="22"/>
          <w:lang w:val="en-US"/>
        </w:rPr>
      </w:pPr>
      <w:r w:rsidRPr="00C63333">
        <w:rPr>
          <w:rFonts w:ascii="Arial" w:hAnsi="Arial" w:cs="Arial"/>
          <w:sz w:val="22"/>
          <w:szCs w:val="22"/>
          <w:lang w:val="en-US"/>
        </w:rPr>
        <w:t xml:space="preserve">To better contextualize the metabolites contributing to the MetRS, we used them as seed nodes in the SPOKE biomedical knowledge graph (Morris et al., 2023) and performed a network analysis of their molecular neighborhood. The curated subgraph contained 169 nodes and 235 edges, distributed as 21 compounds, 52 genes, 32 human proteins, 38 pathways, 14 biological processes, and 12 diseases. Betweenness centrality identified obesity (0.36) and type 2 diabetes mellitus (0.08) as the two highest-ranked disease bridge nodes; additional disease nodes present in the subgraph included </w:t>
      </w:r>
      <w:proofErr w:type="spellStart"/>
      <w:r w:rsidRPr="00C63333">
        <w:rPr>
          <w:rFonts w:ascii="Arial" w:hAnsi="Arial" w:cs="Arial"/>
          <w:sz w:val="22"/>
          <w:szCs w:val="22"/>
          <w:lang w:val="en-US"/>
        </w:rPr>
        <w:t>steatotic</w:t>
      </w:r>
      <w:proofErr w:type="spellEnd"/>
      <w:r w:rsidRPr="00C63333">
        <w:rPr>
          <w:rFonts w:ascii="Arial" w:hAnsi="Arial" w:cs="Arial"/>
          <w:sz w:val="22"/>
          <w:szCs w:val="22"/>
          <w:lang w:val="en-US"/>
        </w:rPr>
        <w:t xml:space="preserve"> liver disease, MASLD, MASH, cardiovascular disease, and atherosclerosis, though with substantially lower betweenness.</w:t>
      </w:r>
    </w:p>
    <w:p w14:paraId="441BDC52" w14:textId="77777777" w:rsidR="00C63333" w:rsidRPr="00C63333" w:rsidRDefault="00C63333" w:rsidP="00C63333">
      <w:pPr>
        <w:pStyle w:val="NormalWeb"/>
        <w:shd w:val="clear" w:color="auto" w:fill="FFFFFF"/>
        <w:spacing w:before="225" w:after="225"/>
        <w:rPr>
          <w:rFonts w:ascii="Arial" w:hAnsi="Arial" w:cs="Arial"/>
          <w:sz w:val="22"/>
          <w:szCs w:val="22"/>
          <w:lang w:val="en-US"/>
        </w:rPr>
      </w:pPr>
      <w:r w:rsidRPr="00C63333">
        <w:rPr>
          <w:rFonts w:ascii="Arial" w:hAnsi="Arial" w:cs="Arial"/>
          <w:sz w:val="22"/>
          <w:szCs w:val="22"/>
          <w:lang w:val="en-US"/>
        </w:rPr>
        <w:lastRenderedPageBreak/>
        <w:t xml:space="preserve">Several biological modules structured the network. The first connected D-glucuronic acid (compound betweenness 0.12), the sugar donor of UDP-glucuronosyltransferase-mediated bile-acid conjugation, to </w:t>
      </w:r>
      <w:r w:rsidRPr="00C63333">
        <w:rPr>
          <w:i/>
          <w:rFonts w:ascii="Arial" w:hAnsi="Arial" w:cs="Arial"/>
          <w:sz w:val="22"/>
          <w:szCs w:val="22"/>
          <w:lang w:val="en-US"/>
          <w:iCs/>
        </w:rPr>
        <w:lastRenderedPageBreak/>
        <w:t xml:space="preserve">GCG</w:t>
      </w:r>
      <w:r w:rsidRPr="00C63333">
        <w:rPr>
          <w:rFonts w:ascii="Arial" w:hAnsi="Arial" w:cs="Arial"/>
          <w:sz w:val="22"/>
          <w:szCs w:val="22"/>
          <w:lang w:val="en-US"/>
        </w:rPr>
        <w:lastRenderedPageBreak/>
        <w:t xml:space="preserve"> (0.17), the proglucagon gene encoding GLP-1 and the highest-betweenness gene in the subgraph; through </w:t>
      </w:r>
      <w:r w:rsidRPr="00C63333">
        <w:rPr>
          <w:rFonts w:ascii="Arial" w:hAnsi="Arial" w:cs="Arial"/>
          <w:i/>
          <w:iCs/>
          <w:sz w:val="22"/>
          <w:szCs w:val="22"/>
          <w:lang w:val="en-US"/>
        </w:rPr>
        <w:t>GCG</w:t>
      </w:r>
      <w:r w:rsidRPr="00C63333">
        <w:rPr>
          <w:rFonts w:ascii="Arial" w:hAnsi="Arial" w:cs="Arial"/>
          <w:sz w:val="22"/>
          <w:szCs w:val="22"/>
          <w:lang w:val="en-US"/>
        </w:rPr>
        <w:t xml:space="preserve">, the module reached the incretin pathway nodes for GLP-1 glucose homeostasis and hunger and satiety, together with the bile-acid-sensing nuclear receptor </w:t>
      </w:r>
      <w:r w:rsidRPr="00C63333">
        <w:rPr>
          <w:rFonts w:ascii="Arial" w:hAnsi="Arial" w:cs="Arial"/>
          <w:i/>
          <w:iCs/>
          <w:sz w:val="22"/>
          <w:szCs w:val="22"/>
          <w:lang w:val="en-US"/>
        </w:rPr>
        <w:t>NR1H4</w:t>
      </w:r>
      <w:r w:rsidRPr="00C63333">
        <w:rPr>
          <w:rFonts w:ascii="Arial" w:hAnsi="Arial" w:cs="Arial"/>
          <w:sz w:val="22"/>
          <w:szCs w:val="22"/>
          <w:lang w:val="en-US"/>
        </w:rPr>
        <w:t xml:space="preserve"> (</w:t>
      </w:r>
      <w:r w:rsidRPr="00C63333">
        <w:rPr>
          <w:i w:val="0"/>
          <w:rFonts w:ascii="Arial" w:hAnsi="Arial" w:cs="Arial"/>
          <w:sz w:val="22"/>
          <w:szCs w:val="22"/>
          <w:lang w:val="en-US"/>
          <w:iCs w:val="0"/>
        </w:rPr>
        <w:t>FXR</w:t>
      </w:r>
      <w:r w:rsidRPr="00C63333">
        <w:rPr>
          <w:rFonts w:ascii="Arial" w:hAnsi="Arial" w:cs="Arial"/>
          <w:sz w:val="22"/>
          <w:szCs w:val="22"/>
          <w:lang w:val="en-US"/>
        </w:rPr>
        <w:t xml:space="preserve">), the rate-limiting bile-acid-synthesis enzyme </w:t>
      </w:r>
      <w:r w:rsidRPr="00C63333">
        <w:rPr>
          <w:rFonts w:ascii="Arial" w:hAnsi="Arial" w:cs="Arial"/>
          <w:i/>
          <w:iCs/>
          <w:sz w:val="22"/>
          <w:szCs w:val="22"/>
          <w:lang w:val="en-US"/>
        </w:rPr>
        <w:t>CYP7A1</w:t>
      </w:r>
      <w:r w:rsidRPr="00C63333">
        <w:rPr>
          <w:rFonts w:ascii="Arial" w:hAnsi="Arial" w:cs="Arial"/>
          <w:sz w:val="22"/>
          <w:szCs w:val="22"/>
          <w:lang w:val="en-US"/>
        </w:rPr>
        <w:t xml:space="preserve">, the enterohepatic feedback hormone </w:t>
      </w:r>
      <w:r w:rsidRPr="00C63333">
        <w:rPr>
          <w:rFonts w:ascii="Arial" w:hAnsi="Arial" w:cs="Arial"/>
          <w:i/>
          <w:iCs/>
          <w:sz w:val="22"/>
          <w:szCs w:val="22"/>
          <w:lang w:val="en-US"/>
        </w:rPr>
        <w:t>FGF19</w:t>
      </w:r>
      <w:r w:rsidRPr="00C63333">
        <w:rPr>
          <w:rFonts w:ascii="Arial" w:hAnsi="Arial" w:cs="Arial"/>
          <w:sz w:val="22"/>
          <w:szCs w:val="22"/>
          <w:lang w:val="en-US"/>
        </w:rPr>
        <w:t xml:space="preserve">, and the incretin receptor </w:t>
      </w:r>
      <w:r w:rsidRPr="00C63333">
        <w:rPr>
          <w:rFonts w:ascii="Arial" w:hAnsi="Arial" w:cs="Arial"/>
          <w:i/>
          <w:iCs/>
          <w:sz w:val="22"/>
          <w:szCs w:val="22"/>
          <w:lang w:val="en-US"/>
        </w:rPr>
        <w:t>GLP1R</w:t>
      </w:r>
      <w:r w:rsidRPr="00C63333">
        <w:rPr>
          <w:rFonts w:ascii="Arial" w:hAnsi="Arial" w:cs="Arial"/>
          <w:sz w:val="22"/>
          <w:szCs w:val="22"/>
          <w:lang w:val="en-US"/>
        </w:rPr>
        <w:t>. This topology mirrors the bile-acid/FXR/TGR5 circuit, considered a non-caloric driver of Roux-en-Y gastric bypass efficacy (Penney et al., 2015).</w:t>
      </w:r>
    </w:p>
    <w:p w14:paraId="7BE00F2D" w14:textId="77777777" w:rsidR="00C63333" w:rsidRPr="00C63333" w:rsidRDefault="00C63333" w:rsidP="00C63333">
      <w:pPr>
        <w:pStyle w:val="NormalWeb"/>
        <w:shd w:val="clear" w:color="auto" w:fill="FFFFFF"/>
        <w:spacing w:before="225" w:after="225"/>
        <w:rPr>
          <w:rFonts w:ascii="Arial" w:hAnsi="Arial" w:cs="Arial"/>
          <w:sz w:val="22"/>
          <w:szCs w:val="22"/>
          <w:lang w:val="en-US"/>
        </w:rPr>
      </w:pPr>
      <w:r w:rsidRPr="00C63333">
        <w:rPr>
          <w:rFonts w:ascii="Arial" w:hAnsi="Arial" w:cs="Arial"/>
          <w:sz w:val="22"/>
          <w:szCs w:val="22"/>
          <w:lang w:val="en-US"/>
        </w:rPr>
        <w:t xml:space="preserve">A second module was anchored on L-kynurenine (0.17), the first stable product of tryptophan catabolism, and recovered the hepatic rate-limiting enzyme </w:t>
      </w:r>
      <w:r w:rsidRPr="00C63333">
        <w:rPr>
          <w:rFonts w:ascii="Arial" w:hAnsi="Arial" w:cs="Arial"/>
          <w:i/>
          <w:iCs/>
          <w:sz w:val="22"/>
          <w:szCs w:val="22"/>
          <w:lang w:val="en-US"/>
        </w:rPr>
        <w:t>TDO2</w:t>
      </w:r>
      <w:r w:rsidRPr="00C63333">
        <w:rPr>
          <w:rFonts w:ascii="Arial" w:hAnsi="Arial" w:cs="Arial"/>
          <w:sz w:val="22"/>
          <w:szCs w:val="22"/>
          <w:lang w:val="en-US"/>
        </w:rPr>
        <w:t xml:space="preserve"> (0.12) together with </w:t>
      </w:r>
      <w:r w:rsidRPr="0087419F">
        <w:rPr>
          <w:rFonts w:ascii="Arial" w:hAnsi="Arial" w:cs="Arial"/>
          <w:i/>
          <w:iCs/>
          <w:sz w:val="22"/>
          <w:szCs w:val="22"/>
          <w:lang w:val="en-US"/>
        </w:rPr>
        <w:t>KYNU</w:t>
      </w:r>
      <w:r w:rsidRPr="00C63333">
        <w:rPr>
          <w:rFonts w:ascii="Arial" w:hAnsi="Arial" w:cs="Arial"/>
          <w:sz w:val="22"/>
          <w:szCs w:val="22"/>
          <w:lang w:val="en-US"/>
        </w:rPr>
        <w:t xml:space="preserve">, </w:t>
      </w:r>
      <w:r w:rsidRPr="0087419F">
        <w:rPr>
          <w:rFonts w:ascii="Arial" w:hAnsi="Arial" w:cs="Arial"/>
          <w:i/>
          <w:iCs/>
          <w:sz w:val="22"/>
          <w:szCs w:val="22"/>
          <w:lang w:val="en-US"/>
        </w:rPr>
        <w:t>KYAT3</w:t>
      </w:r>
      <w:r w:rsidRPr="00C63333">
        <w:rPr>
          <w:rFonts w:ascii="Arial" w:hAnsi="Arial" w:cs="Arial"/>
          <w:sz w:val="22"/>
          <w:szCs w:val="22"/>
          <w:lang w:val="en-US"/>
        </w:rPr>
        <w:t xml:space="preserve">, and </w:t>
      </w:r>
      <w:r w:rsidRPr="0087419F">
        <w:rPr>
          <w:rFonts w:ascii="Arial" w:hAnsi="Arial" w:cs="Arial"/>
          <w:i/>
          <w:iCs/>
          <w:sz w:val="22"/>
          <w:szCs w:val="22"/>
          <w:lang w:val="en-US"/>
        </w:rPr>
        <w:t>GOT2</w:t>
      </w:r>
      <w:r w:rsidRPr="00C63333">
        <w:rPr>
          <w:rFonts w:ascii="Arial" w:hAnsi="Arial" w:cs="Arial"/>
          <w:sz w:val="22"/>
          <w:szCs w:val="22"/>
          <w:lang w:val="en-US"/>
        </w:rPr>
        <w:t>, and the pathway nodes tryptophan metabolism and kynurenine pathway. This composition is consistent with adipose-inflammation-driven activation of the kynurenine pathway reported in human obesity cohorts, where circulating kynurenine correlates positively with BMI and insulin resistance (</w:t>
      </w:r>
      <w:proofErr w:type="spellStart"/>
      <w:r w:rsidRPr="00C63333">
        <w:rPr>
          <w:rFonts w:ascii="Arial" w:hAnsi="Arial" w:cs="Arial"/>
          <w:sz w:val="22"/>
          <w:szCs w:val="22"/>
          <w:lang w:val="en-US"/>
        </w:rPr>
        <w:t>Favennec</w:t>
      </w:r>
      <w:proofErr w:type="spellEnd"/>
      <w:r w:rsidRPr="00C63333">
        <w:rPr>
          <w:rFonts w:ascii="Arial" w:hAnsi="Arial" w:cs="Arial"/>
          <w:sz w:val="22"/>
          <w:szCs w:val="22"/>
          <w:lang w:val="en-US"/>
        </w:rPr>
        <w:t xml:space="preserve"> et al., 2015; Cervenka et al., 2017).</w:t>
      </w:r>
    </w:p>
    <w:p w14:paraId="5DB325EF" w14:textId="77777777" w:rsidR="00C63333" w:rsidRPr="00C63333" w:rsidRDefault="00C63333" w:rsidP="00C63333">
      <w:pPr>
        <w:pStyle w:val="NormalWeb"/>
        <w:shd w:val="clear" w:color="auto" w:fill="FFFFFF"/>
        <w:spacing w:before="225" w:after="225"/>
        <w:rPr>
          <w:rFonts w:ascii="Arial" w:hAnsi="Arial" w:cs="Arial"/>
          <w:sz w:val="22"/>
          <w:szCs w:val="22"/>
          <w:lang w:val="en-US"/>
        </w:rPr>
      </w:pPr>
      <w:r w:rsidRPr="00C63333">
        <w:rPr>
          <w:rFonts w:ascii="Arial" w:hAnsi="Arial" w:cs="Arial"/>
          <w:sz w:val="22"/>
          <w:szCs w:val="22"/>
          <w:lang w:val="en-US"/>
        </w:rPr>
        <w:t xml:space="preserve">A third module linked malonic acid (0.27), the free-acid counterpart of malonyl-CoA and an inhibitor of the </w:t>
      </w:r>
      <w:r w:rsidRPr="0087419F">
        <w:rPr>
          <w:rFonts w:ascii="Arial" w:hAnsi="Arial" w:cs="Arial"/>
          <w:i/>
          <w:iCs/>
          <w:sz w:val="22"/>
          <w:szCs w:val="22"/>
          <w:lang w:val="en-US"/>
        </w:rPr>
        <w:t>CPT1A</w:t>
      </w:r>
      <w:r w:rsidRPr="00C63333">
        <w:rPr>
          <w:rFonts w:ascii="Arial" w:hAnsi="Arial" w:cs="Arial"/>
          <w:sz w:val="22"/>
          <w:szCs w:val="22"/>
          <w:lang w:val="en-US"/>
        </w:rPr>
        <w:t xml:space="preserve"> fatty-acid-oxidation gateway, and β-</w:t>
      </w:r>
      <w:proofErr w:type="spellStart"/>
      <w:r w:rsidRPr="00C63333">
        <w:rPr>
          <w:rFonts w:ascii="Arial" w:hAnsi="Arial" w:cs="Arial"/>
          <w:sz w:val="22"/>
          <w:szCs w:val="22"/>
          <w:lang w:val="en-US"/>
        </w:rPr>
        <w:t>aminoisobutyric</w:t>
      </w:r>
      <w:proofErr w:type="spellEnd"/>
      <w:r w:rsidRPr="00C63333">
        <w:rPr>
          <w:rFonts w:ascii="Arial" w:hAnsi="Arial" w:cs="Arial"/>
          <w:sz w:val="22"/>
          <w:szCs w:val="22"/>
          <w:lang w:val="en-US"/>
        </w:rPr>
        <w:t xml:space="preserve"> acid (BAIBA), a PGC-1α/PPARα-dependent exercise-induced myokine (Roberts et al., 2014), to </w:t>
      </w:r>
      <w:r w:rsidRPr="0087419F">
        <w:rPr>
          <w:rFonts w:ascii="Arial" w:hAnsi="Arial" w:cs="Arial"/>
          <w:i/>
          <w:iCs/>
          <w:sz w:val="22"/>
          <w:szCs w:val="22"/>
          <w:lang w:val="en-US"/>
        </w:rPr>
        <w:t>PPARA</w:t>
      </w:r>
      <w:r w:rsidRPr="00C63333">
        <w:rPr>
          <w:rFonts w:ascii="Arial" w:hAnsi="Arial" w:cs="Arial"/>
          <w:sz w:val="22"/>
          <w:szCs w:val="22"/>
          <w:lang w:val="en-US"/>
        </w:rPr>
        <w:t xml:space="preserve"> and </w:t>
      </w:r>
      <w:r w:rsidRPr="0087419F">
        <w:rPr>
          <w:rFonts w:ascii="Arial" w:hAnsi="Arial" w:cs="Arial"/>
          <w:i/>
          <w:iCs/>
          <w:sz w:val="22"/>
          <w:szCs w:val="22"/>
          <w:lang w:val="en-US"/>
        </w:rPr>
        <w:t>PPARG</w:t>
      </w:r>
      <w:r w:rsidRPr="00C63333">
        <w:rPr>
          <w:rFonts w:ascii="Arial" w:hAnsi="Arial" w:cs="Arial"/>
          <w:sz w:val="22"/>
          <w:szCs w:val="22"/>
          <w:lang w:val="en-US"/>
        </w:rPr>
        <w:t xml:space="preserve"> (betweenness 0.10 and 0.13, respectively), </w:t>
      </w:r>
      <w:r w:rsidRPr="0087419F">
        <w:rPr>
          <w:rFonts w:ascii="Arial" w:hAnsi="Arial" w:cs="Arial"/>
          <w:i/>
          <w:iCs/>
          <w:sz w:val="22"/>
          <w:szCs w:val="22"/>
          <w:lang w:val="en-US"/>
        </w:rPr>
        <w:t>CPT1A</w:t>
      </w:r>
      <w:r w:rsidRPr="00C63333">
        <w:rPr>
          <w:rFonts w:ascii="Arial" w:hAnsi="Arial" w:cs="Arial"/>
          <w:sz w:val="22"/>
          <w:szCs w:val="22"/>
          <w:lang w:val="en-US"/>
        </w:rPr>
        <w:t xml:space="preserve">, and biological process nodes related to fatty acid oxidation. A fourth module centered on </w:t>
      </w:r>
      <w:r w:rsidRPr="0087419F">
        <w:rPr>
          <w:rFonts w:ascii="Arial" w:hAnsi="Arial" w:cs="Arial"/>
          <w:i/>
          <w:iCs/>
          <w:sz w:val="22"/>
          <w:szCs w:val="22"/>
          <w:lang w:val="en-US"/>
        </w:rPr>
        <w:t>NOS3</w:t>
      </w:r>
      <w:r w:rsidRPr="00C63333">
        <w:rPr>
          <w:rFonts w:ascii="Arial" w:hAnsi="Arial" w:cs="Arial"/>
          <w:sz w:val="22"/>
          <w:szCs w:val="22"/>
          <w:lang w:val="en-US"/>
        </w:rPr>
        <w:t>, endothelial nitric oxide synthase (betweenness 0.13), connected to L-homoarginine (0.09), an endogenous NOS substrate whose circulating levels are inversely associated with cardiovascular and renal mortality (Pilz et al., 2015).</w:t>
      </w:r>
    </w:p>
    <w:p w14:paraId="3CC333F1" w14:textId="77777777" w:rsidR="00C63333" w:rsidRPr="00C63333" w:rsidRDefault="00C63333" w:rsidP="00C63333">
      <w:pPr>
        <w:pStyle w:val="NormalWeb"/>
        <w:shd w:val="clear" w:color="auto" w:fill="FFFFFF"/>
        <w:spacing w:before="225" w:after="225"/>
        <w:rPr>
          <w:rFonts w:ascii="Arial" w:hAnsi="Arial" w:cs="Arial"/>
          <w:sz w:val="22"/>
          <w:szCs w:val="22"/>
          <w:lang w:val="en-US"/>
        </w:rPr>
      </w:pPr>
      <w:r w:rsidRPr="00C63333">
        <w:rPr>
          <w:rFonts w:ascii="Arial" w:hAnsi="Arial" w:cs="Arial"/>
          <w:sz w:val="22"/>
          <w:szCs w:val="22"/>
          <w:lang w:val="en-US"/>
        </w:rPr>
        <w:t>Collectively, the network topology organized around four cardiometabolic axes: incretin signaling, tryptophan catabolism, fatty acid oxidation, and endothelial nitric oxide synthesis, each connecting MetRS metabolites to disease nodes central to obesity and bariatric surgery outcomes.</w:t>
      </w:r>
    </w:p>
    <w:p w14:paraId="1DCCFCED" w14:textId="77777777" w:rsidR="00C63333" w:rsidRDefault="00C63333" w:rsidP="00016A38">
      <w:pPr>
        <w:pStyle w:val="NormalWeb"/>
        <w:shd w:val="clear" w:color="auto" w:fill="FFFFFF"/>
        <w:spacing w:before="225" w:beforeAutospacing="0" w:after="225" w:afterAutospacing="0"/>
        <w:rPr>
          <w:rFonts w:ascii="Arial" w:hAnsi="Arial" w:cs="Arial"/>
          <w:b/>
          <w:bCs/>
          <w:sz w:val="22"/>
          <w:szCs w:val="22"/>
          <w:lang w:val="en-US"/>
        </w:rPr>
      </w:pPr>
    </w:p>
    <w:p w14:paraId="67B9E2F0" w14:textId="77777777" w:rsidR="00C63333" w:rsidRPr="00140E9E" w:rsidRDefault="00C63333" w:rsidP="00016A38">
      <w:pPr>
        <w:pStyle w:val="NormalWeb"/>
        <w:shd w:val="clear" w:color="auto" w:fill="FFFFFF"/>
        <w:spacing w:before="225" w:beforeAutospacing="0" w:after="225" w:afterAutospacing="0"/>
        <w:rPr>
          <w:rFonts w:ascii="Arial" w:hAnsi="Arial" w:cs="Arial"/>
          <w:b/>
          <w:bCs/>
          <w:sz w:val="22"/>
          <w:szCs w:val="22"/>
          <w:lang w:val="en-US"/>
        </w:rPr>
      </w:pPr>
    </w:p>
    <w:p w14:paraId="22BC50F6" w14:textId="77777777" w:rsidR="00765774" w:rsidRPr="00140E9E" w:rsidRDefault="00765774">
      <w:pPr>
        <w:rPr>
          <w:rFonts w:ascii="Arial" w:hAnsi="Arial" w:cs="Arial"/>
          <w:b/>
          <w:bCs/>
          <w:sz w:val="22"/>
          <w:szCs w:val="22"/>
          <w:lang w:val="en-US"/>
        </w:rPr>
      </w:pPr>
    </w:p>
    <w:p w14:paraId="31C1531A" w14:textId="219312FB" w:rsidR="00016A38" w:rsidRPr="00140E9E" w:rsidRDefault="00765774">
      <w:pPr>
        <w:rPr>
          <w:rFonts w:ascii="Arial" w:hAnsi="Arial" w:cs="Arial"/>
          <w:b/>
          <w:bCs/>
          <w:sz w:val="22"/>
          <w:szCs w:val="22"/>
          <w:lang w:val="en-US"/>
        </w:rPr>
      </w:pPr>
      <w:r w:rsidRPr="00140E9E">
        <w:rPr>
          <w:rFonts w:ascii="Arial" w:hAnsi="Arial" w:cs="Arial"/>
          <w:b/>
          <w:bCs/>
          <w:sz w:val="22"/>
          <w:szCs w:val="22"/>
          <w:lang w:val="en-US"/>
        </w:rPr>
        <w:t>Discussio</w:t>
      </w:r>
      <w:r w:rsidR="00016A38" w:rsidRPr="00140E9E">
        <w:rPr>
          <w:rFonts w:ascii="Arial" w:hAnsi="Arial" w:cs="Arial"/>
          <w:b/>
          <w:bCs/>
          <w:sz w:val="22"/>
          <w:szCs w:val="22"/>
          <w:lang w:val="en-US"/>
        </w:rPr>
        <w:t>n</w:t>
      </w:r>
    </w:p>
    <w:p w14:paraId="1A9B3C8E" w14:textId="77777777" w:rsidR="00016A38" w:rsidRPr="00140E9E" w:rsidRDefault="00016A38">
      <w:pPr>
        <w:rPr>
          <w:rFonts w:ascii="Arial" w:hAnsi="Arial" w:cs="Arial"/>
          <w:b/>
          <w:bCs/>
          <w:sz w:val="22"/>
          <w:szCs w:val="22"/>
          <w:lang w:val="en-US"/>
        </w:rPr>
      </w:pPr>
    </w:p>
    <w:p w14:paraId="09E42BD3" w14:textId="77777777" w:rsidR="0003179C" w:rsidRDefault="0003179C" w:rsidP="0003179C">
      <w:pPr>
        <w:rPr>
          <w:rFonts w:ascii="Arial" w:hAnsi="Arial" w:cs="Arial"/>
          <w:sz w:val="22"/>
          <w:szCs w:val="22"/>
          <w:lang w:val="en-US"/>
        </w:rPr>
      </w:pPr>
      <w:r w:rsidRPr="0003179C">
        <w:rPr>
          <w:rFonts w:ascii="Arial" w:hAnsi="Arial" w:cs="Arial"/>
          <w:sz w:val="22"/>
          <w:szCs w:val="22"/>
          <w:lang w:val="en-US"/>
        </w:rPr>
        <w:t xml:space="preserve">The metabolic risk score (MetRS) derived to predict long-term weight regain after gastric bypass surgery mapped, through an unbiased graph traversal, onto obesity, type 2 diabetes mellitus, and </w:t>
      </w:r>
      <w:proofErr w:type="spellStart"/>
      <w:r w:rsidRPr="0003179C">
        <w:rPr>
          <w:rFonts w:ascii="Arial" w:hAnsi="Arial" w:cs="Arial"/>
          <w:sz w:val="22"/>
          <w:szCs w:val="22"/>
          <w:lang w:val="en-US"/>
        </w:rPr>
        <w:t>steatotic</w:t>
      </w:r>
      <w:proofErr w:type="spellEnd"/>
      <w:r w:rsidRPr="0003179C">
        <w:rPr>
          <w:rFonts w:ascii="Arial" w:hAnsi="Arial" w:cs="Arial"/>
          <w:sz w:val="22"/>
          <w:szCs w:val="22"/>
          <w:lang w:val="en-US"/>
        </w:rPr>
        <w:t xml:space="preserve"> liver disease as its principal disease bridges, with MASLD and MASH also represented among the network disease nodes. This pattern argues against a surgery-specific epiphenomenon and supports the interpretation that the MetRS indexes a pre-existing cardiometabolic state that the operation only partially corrects.</w:t>
      </w:r>
    </w:p>
    <w:p w14:paraId="67A98734" w14:textId="77777777" w:rsidR="0003179C" w:rsidRPr="0003179C" w:rsidRDefault="0003179C" w:rsidP="0003179C">
      <w:pPr>
        <w:rPr>
          <w:rFonts w:ascii="Arial" w:hAnsi="Arial" w:cs="Arial"/>
          <w:sz w:val="22"/>
          <w:szCs w:val="22"/>
          <w:lang w:val="en-US"/>
        </w:rPr>
      </w:pPr>
    </w:p>
    <w:p w14:paraId="1171F148" w14:textId="30D978E4" w:rsidR="0003179C" w:rsidRDefault="0003179C" w:rsidP="0003179C">
      <w:pPr>
        <w:rPr>
          <w:rFonts w:ascii="Arial" w:hAnsi="Arial" w:cs="Arial"/>
          <w:sz w:val="22"/>
          <w:szCs w:val="22"/>
          <w:lang w:val="en-US"/>
        </w:rPr>
      </w:pPr>
      <w:r w:rsidRPr="0003179C">
        <w:rPr>
          <w:rFonts w:ascii="Arial" w:hAnsi="Arial" w:cs="Arial"/>
          <w:sz w:val="22"/>
          <w:szCs w:val="22"/>
          <w:lang w:val="en-US"/>
        </w:rPr>
        <w:t>Among the enriched modules, the bile acid/GLP-1 axis has the most direct translational implications. After Roux-en-Y reconstruction, bile acids reaching the distal ileum activate FXR and TGR5 on enteroendocrine L-cells and amplify the postprandial GLP-1 response that accounts for much of the non-caloric metabolic benefit of the operation (</w:t>
      </w:r>
      <w:proofErr w:type="spellStart"/>
      <w:r w:rsidRPr="0003179C">
        <w:rPr>
          <w:rFonts w:ascii="Arial" w:hAnsi="Arial" w:cs="Arial"/>
          <w:sz w:val="22"/>
          <w:szCs w:val="22"/>
          <w:lang w:val="en-US"/>
        </w:rPr>
        <w:t>Laferrère</w:t>
      </w:r>
      <w:proofErr w:type="spellEnd"/>
      <w:r w:rsidRPr="0003179C">
        <w:rPr>
          <w:rFonts w:ascii="Arial" w:hAnsi="Arial" w:cs="Arial"/>
          <w:sz w:val="22"/>
          <w:szCs w:val="22"/>
          <w:lang w:val="en-US"/>
        </w:rPr>
        <w:t xml:space="preserve"> et al., 2008; Penney et al., 2015). GLP-1 receptor agonists have since demonstrated broad efficacy across metabolic, cardiovascular, and renal outcomes (Rosen and </w:t>
      </w:r>
      <w:proofErr w:type="spellStart"/>
      <w:r w:rsidRPr="0003179C">
        <w:rPr>
          <w:rFonts w:ascii="Arial" w:hAnsi="Arial" w:cs="Arial"/>
          <w:sz w:val="22"/>
          <w:szCs w:val="22"/>
          <w:lang w:val="en-US"/>
        </w:rPr>
        <w:t>Ingelfinger</w:t>
      </w:r>
      <w:proofErr w:type="spellEnd"/>
      <w:r w:rsidRPr="0003179C">
        <w:rPr>
          <w:rFonts w:ascii="Arial" w:hAnsi="Arial" w:cs="Arial"/>
          <w:sz w:val="22"/>
          <w:szCs w:val="22"/>
          <w:lang w:val="en-US"/>
        </w:rPr>
        <w:t xml:space="preserve">, 2026). In this context, patients scoring high on the MetRS may be reasonable candidates for adjunctive GLP-1 receptor agonist therapy in the setting of post-bariatric weight regain, consistent with the emerging </w:t>
      </w:r>
      <w:r w:rsidRPr="0003179C">
        <w:rPr>
          <w:rFonts w:ascii="Arial" w:hAnsi="Arial" w:cs="Arial"/>
          <w:sz w:val="22"/>
          <w:szCs w:val="22"/>
          <w:lang w:val="en-US"/>
        </w:rPr>
        <w:t>personalized</w:t>
      </w:r>
      <w:r w:rsidRPr="0003179C">
        <w:rPr>
          <w:rFonts w:ascii="Arial" w:hAnsi="Arial" w:cs="Arial"/>
          <w:sz w:val="22"/>
          <w:szCs w:val="22"/>
          <w:lang w:val="en-US"/>
        </w:rPr>
        <w:t>-medicine framework for GLP-1-based medicines (Drucker, 2024).</w:t>
      </w:r>
    </w:p>
    <w:p w14:paraId="49C8F375" w14:textId="77777777" w:rsidR="0003179C" w:rsidRPr="0003179C" w:rsidRDefault="0003179C" w:rsidP="0003179C">
      <w:pPr>
        <w:rPr>
          <w:rFonts w:ascii="Arial" w:hAnsi="Arial" w:cs="Arial"/>
          <w:sz w:val="22"/>
          <w:szCs w:val="22"/>
          <w:lang w:val="en-US"/>
        </w:rPr>
      </w:pPr>
    </w:p>
    <w:p w14:paraId="5B421066" w14:textId="2D971195" w:rsidR="0003179C" w:rsidRDefault="0003179C" w:rsidP="0003179C">
      <w:pPr>
        <w:rPr>
          <w:rFonts w:ascii="Arial" w:hAnsi="Arial" w:cs="Arial"/>
          <w:sz w:val="22"/>
          <w:szCs w:val="22"/>
          <w:lang w:val="en-US"/>
        </w:rPr>
      </w:pPr>
      <w:r w:rsidRPr="0003179C">
        <w:rPr>
          <w:rFonts w:ascii="Arial" w:hAnsi="Arial" w:cs="Arial"/>
          <w:sz w:val="22"/>
          <w:szCs w:val="22"/>
          <w:lang w:val="en-US"/>
        </w:rPr>
        <w:t xml:space="preserve">The kynurenine/tryptophan inflammation axis is likewise well supported by prior evidence. </w:t>
      </w:r>
      <w:r w:rsidRPr="0003179C">
        <w:rPr>
          <w:i/>
          <w:rFonts w:ascii="Arial" w:hAnsi="Arial" w:cs="Arial"/>
          <w:sz w:val="22"/>
          <w:szCs w:val="22"/>
          <w:lang w:val="en-US"/>
          <w:iCs/>
        </w:rPr>
        <w:t xml:space="preserve">IDO1</w:t>
      </w:r>
      <w:r w:rsidRPr="0003179C">
        <w:rPr>
          <w:rFonts w:ascii="Arial" w:hAnsi="Arial" w:cs="Arial"/>
          <w:sz w:val="22"/>
          <w:szCs w:val="22"/>
          <w:lang w:val="en-US"/>
        </w:rPr>
        <w:t xml:space="preserve">- and </w:t>
      </w:r>
      <w:r w:rsidRPr="0003179C">
        <w:rPr>
          <w:i/>
          <w:rFonts w:ascii="Arial" w:hAnsi="Arial" w:cs="Arial"/>
          <w:sz w:val="22"/>
          <w:szCs w:val="22"/>
          <w:lang w:val="en-US"/>
          <w:iCs/>
        </w:rPr>
        <w:t xml:space="preserve">TDO2</w:t>
      </w:r>
      <w:r w:rsidRPr="0003179C">
        <w:rPr>
          <w:rFonts w:ascii="Arial" w:hAnsi="Arial" w:cs="Arial"/>
          <w:sz w:val="22"/>
          <w:szCs w:val="22"/>
          <w:lang w:val="en-US"/>
        </w:rPr>
        <w:t xml:space="preserve">-driven tryptophan catabolism is induced by adipose-tissue macrophage inflammation, and its circulating output tracks body-mass index and insulin resistance across human cohorts </w:t>
      </w:r>
      <w:r w:rsidRPr="0003179C">
        <w:rPr>
          <w:rFonts w:ascii="Arial" w:hAnsi="Arial" w:cs="Arial"/>
          <w:sz w:val="22"/>
          <w:szCs w:val="22"/>
          <w:lang w:val="en-US"/>
        </w:rPr>
        <w:lastRenderedPageBreak/>
        <w:t>(</w:t>
      </w:r>
      <w:proofErr w:type="spellStart"/>
      <w:r w:rsidRPr="0003179C">
        <w:rPr>
          <w:rFonts w:ascii="Arial" w:hAnsi="Arial" w:cs="Arial"/>
          <w:sz w:val="22"/>
          <w:szCs w:val="22"/>
          <w:lang w:val="en-US"/>
        </w:rPr>
        <w:t>Favennec</w:t>
      </w:r>
      <w:proofErr w:type="spellEnd"/>
      <w:r w:rsidRPr="0003179C">
        <w:rPr>
          <w:rFonts w:ascii="Arial" w:hAnsi="Arial" w:cs="Arial"/>
          <w:sz w:val="22"/>
          <w:szCs w:val="22"/>
          <w:lang w:val="en-US"/>
        </w:rPr>
        <w:t xml:space="preserve"> et al., 2015; Cervenka et al., 2017). The fatty acid oxidation/adipokine axis, anchored on malonic acid, BAIBA, and the PPARα/</w:t>
      </w:r>
      <w:proofErr w:type="spellStart"/>
      <w:r w:rsidRPr="0003179C">
        <w:rPr>
          <w:rFonts w:ascii="Arial" w:hAnsi="Arial" w:cs="Arial"/>
          <w:sz w:val="22"/>
          <w:szCs w:val="22"/>
          <w:lang w:val="en-US"/>
        </w:rPr>
        <w:t>PPARγ</w:t>
      </w:r>
      <w:proofErr w:type="spellEnd"/>
      <w:r w:rsidRPr="0003179C">
        <w:rPr>
          <w:rFonts w:ascii="Arial" w:hAnsi="Arial" w:cs="Arial"/>
          <w:sz w:val="22"/>
          <w:szCs w:val="22"/>
          <w:lang w:val="en-US"/>
        </w:rPr>
        <w:t xml:space="preserve"> pair, reflects the established role of BAIBA as an exercise-induced, PGC-1α-dependent myokine that amplifies PPARα </w:t>
      </w:r>
      <w:r w:rsidRPr="0003179C">
        <w:rPr>
          <w:rFonts w:ascii="Arial" w:hAnsi="Arial" w:cs="Arial"/>
          <w:sz w:val="22"/>
          <w:szCs w:val="22"/>
          <w:lang w:val="en-US"/>
        </w:rPr>
        <w:t>signaling</w:t>
      </w:r>
      <w:r w:rsidRPr="0003179C">
        <w:rPr>
          <w:rFonts w:ascii="Arial" w:hAnsi="Arial" w:cs="Arial"/>
          <w:sz w:val="22"/>
          <w:szCs w:val="22"/>
          <w:lang w:val="en-US"/>
        </w:rPr>
        <w:t xml:space="preserve"> to drive white-adipose browning and hepatic β-oxidation (Roberts et al., 2014). A vascular nitric oxide sub-network also emerged, centered on </w:t>
      </w:r>
      <w:r w:rsidRPr="0003179C">
        <w:rPr>
          <w:i/>
          <w:rFonts w:ascii="Arial" w:hAnsi="Arial" w:cs="Arial"/>
          <w:sz w:val="22"/>
          <w:szCs w:val="22"/>
          <w:lang w:val="en-US"/>
          <w:iCs/>
        </w:rPr>
        <w:t xml:space="preserve">NOS3</w:t>
      </w:r>
      <w:r w:rsidRPr="0003179C">
        <w:rPr>
          <w:rFonts w:ascii="Arial" w:hAnsi="Arial" w:cs="Arial"/>
          <w:sz w:val="22"/>
          <w:szCs w:val="22"/>
          <w:lang w:val="en-US"/>
        </w:rPr>
        <w:t xml:space="preserve"> and nitric oxide biosynthesis. Low circulating homoarginine, an endogenous NOS substrate, is an independent risk marker for cardiovascular and renal mortality across multiple cohorts (Pilz et al., 2015), and its presence in this module points to endothelial dysfunction as a component of the weight-regain phenotype.</w:t>
      </w:r>
    </w:p>
    <w:p w14:paraId="0D7EB66C" w14:textId="77777777" w:rsidR="0003179C" w:rsidRPr="0003179C" w:rsidRDefault="0003179C" w:rsidP="0003179C">
      <w:pPr>
        <w:rPr>
          <w:rFonts w:ascii="Arial" w:hAnsi="Arial" w:cs="Arial"/>
          <w:sz w:val="22"/>
          <w:szCs w:val="22"/>
          <w:lang w:val="en-US"/>
        </w:rPr>
      </w:pPr>
    </w:p>
    <w:p w14:paraId="107C1092" w14:textId="77777777" w:rsidR="0003179C" w:rsidRPr="0003179C" w:rsidRDefault="0003179C" w:rsidP="0003179C">
      <w:pPr>
        <w:rPr>
          <w:rFonts w:ascii="Arial" w:hAnsi="Arial" w:cs="Arial"/>
          <w:sz w:val="22"/>
          <w:szCs w:val="22"/>
          <w:lang w:val="en-US"/>
        </w:rPr>
      </w:pPr>
      <w:r w:rsidRPr="0003179C">
        <w:rPr>
          <w:rFonts w:ascii="Arial" w:hAnsi="Arial" w:cs="Arial"/>
          <w:sz w:val="22"/>
          <w:szCs w:val="22"/>
          <w:lang w:val="en-US"/>
        </w:rPr>
        <w:t>The four modules collectively describe a biology in which incretin signaling, tryptophan catabolism, fatty acid oxidation, and endothelial function each connect to the cardiometabolic state indexed by the MetRS, providing a mechanistic framework for weight-regain biology and a basis for pharmacological stratification.</w:t>
      </w:r>
    </w:p>
    <w:p w14:paraId="27559505" w14:textId="77777777" w:rsidR="00982F69" w:rsidRPr="00140E9E" w:rsidRDefault="00982F69">
      <w:pPr>
        <w:rPr>
          <w:rFonts w:ascii="Arial" w:hAnsi="Arial" w:cs="Arial"/>
          <w:b/>
          <w:bCs/>
          <w:sz w:val="22"/>
          <w:szCs w:val="22"/>
          <w:lang w:val="en-US"/>
        </w:rPr>
      </w:pPr>
    </w:p>
    <w:p w14:paraId="2FFF90B4" w14:textId="77777777" w:rsidR="00982F69" w:rsidRDefault="00982F69">
      <w:pPr>
        <w:rPr>
          <w:rFonts w:ascii="Arial" w:hAnsi="Arial" w:cs="Arial"/>
          <w:b/>
          <w:bCs/>
          <w:sz w:val="22"/>
          <w:szCs w:val="22"/>
          <w:lang w:val="en-US"/>
        </w:rPr>
      </w:pPr>
    </w:p>
    <w:p w14:paraId="6873CDC9" w14:textId="77777777" w:rsidR="0003179C" w:rsidRDefault="0003179C">
      <w:pPr>
        <w:rPr>
          <w:rFonts w:ascii="Arial" w:hAnsi="Arial" w:cs="Arial"/>
          <w:b/>
          <w:bCs/>
          <w:sz w:val="22"/>
          <w:szCs w:val="22"/>
          <w:lang w:val="en-US"/>
        </w:rPr>
      </w:pPr>
    </w:p>
    <w:p w14:paraId="5231B050" w14:textId="77777777" w:rsidR="0003179C" w:rsidRPr="00140E9E" w:rsidRDefault="0003179C">
      <w:pPr>
        <w:rPr>
          <w:rFonts w:ascii="Arial" w:hAnsi="Arial" w:cs="Arial"/>
          <w:b/>
          <w:bCs/>
          <w:sz w:val="22"/>
          <w:szCs w:val="22"/>
          <w:lang w:val="en-US"/>
        </w:rPr>
      </w:pPr>
    </w:p>
    <w:p w14:paraId="47F3F4BB" w14:textId="77777777" w:rsidR="00765774" w:rsidRPr="00140E9E" w:rsidRDefault="00765774">
      <w:pPr>
        <w:rPr>
          <w:rFonts w:ascii="Arial" w:hAnsi="Arial" w:cs="Arial"/>
          <w:b/>
          <w:bCs/>
          <w:sz w:val="22"/>
          <w:szCs w:val="22"/>
          <w:lang w:val="en-US"/>
        </w:rPr>
      </w:pPr>
    </w:p>
    <w:p w14:paraId="31308491" w14:textId="1DC03D27" w:rsidR="00765774" w:rsidRPr="00140E9E" w:rsidRDefault="00765774">
      <w:pPr>
        <w:rPr>
          <w:rFonts w:ascii="Arial" w:hAnsi="Arial" w:cs="Arial"/>
          <w:b/>
          <w:bCs/>
          <w:sz w:val="22"/>
          <w:szCs w:val="22"/>
          <w:lang w:val="en-US"/>
        </w:rPr>
      </w:pPr>
      <w:r w:rsidRPr="00140E9E">
        <w:rPr>
          <w:rFonts w:ascii="Arial" w:hAnsi="Arial" w:cs="Arial"/>
          <w:b/>
          <w:bCs/>
          <w:sz w:val="22"/>
          <w:szCs w:val="22"/>
          <w:lang w:val="en-US"/>
        </w:rPr>
        <w:t>References</w:t>
      </w:r>
    </w:p>
    <w:p w14:paraId="002927D7" w14:textId="77777777" w:rsidR="00765774" w:rsidRPr="00140E9E" w:rsidRDefault="00765774">
      <w:pPr>
        <w:rPr>
          <w:rFonts w:ascii="Arial" w:hAnsi="Arial" w:cs="Arial"/>
          <w:b/>
          <w:bCs/>
          <w:sz w:val="22"/>
          <w:szCs w:val="22"/>
          <w:lang w:val="en-US"/>
        </w:rPr>
      </w:pPr>
    </w:p>
    <w:p w14:paraId="447F9F82" w14:textId="7A5F22C7" w:rsidR="008E1B04" w:rsidRPr="00140E9E" w:rsidRDefault="008E1B04" w:rsidP="00982F69">
      <w:pPr>
        <w:shd w:val="clear" w:color="auto" w:fill="FFFFFF"/>
        <w:rPr>
          <w:rFonts w:ascii="Arial" w:eastAsia="Times New Roman" w:hAnsi="Arial" w:cs="Arial"/>
          <w:color w:val="000000"/>
          <w:kern w:val="0"/>
          <w:sz w:val="22"/>
          <w:szCs w:val="22"/>
          <w:lang w:val="en-US" w:eastAsia="it-IT"/>
          <w14:ligatures w14:val="none"/>
        </w:rPr>
      </w:pPr>
      <w:proofErr w:type="spellStart"/>
      <w:r w:rsidRPr="00140E9E">
        <w:rPr>
          <w:rFonts w:ascii="Arial" w:eastAsia="Times New Roman" w:hAnsi="Arial" w:cs="Arial"/>
          <w:color w:val="000000"/>
          <w:kern w:val="0"/>
          <w:sz w:val="22"/>
          <w:szCs w:val="22"/>
          <w:lang w:val="en-US" w:eastAsia="it-IT"/>
          <w14:ligatures w14:val="none"/>
        </w:rPr>
        <w:t>Barabási</w:t>
      </w:r>
      <w:proofErr w:type="spellEnd"/>
      <w:r w:rsidRPr="00140E9E">
        <w:rPr>
          <w:rFonts w:ascii="Arial" w:eastAsia="Times New Roman" w:hAnsi="Arial" w:cs="Arial"/>
          <w:color w:val="000000"/>
          <w:kern w:val="0"/>
          <w:sz w:val="22"/>
          <w:szCs w:val="22"/>
          <w:lang w:val="en-US" w:eastAsia="it-IT"/>
          <w14:ligatures w14:val="none"/>
        </w:rPr>
        <w:t xml:space="preserve"> AL, </w:t>
      </w:r>
      <w:proofErr w:type="spellStart"/>
      <w:r w:rsidRPr="00140E9E">
        <w:rPr>
          <w:rFonts w:ascii="Arial" w:eastAsia="Times New Roman" w:hAnsi="Arial" w:cs="Arial"/>
          <w:color w:val="000000"/>
          <w:kern w:val="0"/>
          <w:sz w:val="22"/>
          <w:szCs w:val="22"/>
          <w:lang w:val="en-US" w:eastAsia="it-IT"/>
          <w14:ligatures w14:val="none"/>
        </w:rPr>
        <w:t>Gulbahce</w:t>
      </w:r>
      <w:proofErr w:type="spellEnd"/>
      <w:r w:rsidRPr="00140E9E">
        <w:rPr>
          <w:rFonts w:ascii="Arial" w:eastAsia="Times New Roman" w:hAnsi="Arial" w:cs="Arial"/>
          <w:color w:val="000000"/>
          <w:kern w:val="0"/>
          <w:sz w:val="22"/>
          <w:szCs w:val="22"/>
          <w:lang w:val="en-US" w:eastAsia="it-IT"/>
          <w14:ligatures w14:val="none"/>
        </w:rPr>
        <w:t xml:space="preserve"> N, Loscalzo J. Network medicine: a network-based approach to human disease. </w:t>
      </w:r>
      <w:r w:rsidRPr="00140E9E">
        <w:rPr>
          <w:rFonts w:ascii="Arial" w:eastAsia="Times New Roman" w:hAnsi="Arial" w:cs="Arial"/>
          <w:i/>
          <w:iCs/>
          <w:color w:val="000000"/>
          <w:kern w:val="0"/>
          <w:sz w:val="22"/>
          <w:szCs w:val="22"/>
          <w:lang w:val="en-US" w:eastAsia="it-IT"/>
          <w14:ligatures w14:val="none"/>
        </w:rPr>
        <w:t>Nat Rev Genet</w:t>
      </w:r>
      <w:r w:rsidRPr="00140E9E">
        <w:rPr>
          <w:rFonts w:ascii="Arial" w:eastAsia="Times New Roman" w:hAnsi="Arial" w:cs="Arial"/>
          <w:color w:val="000000"/>
          <w:kern w:val="0"/>
          <w:sz w:val="22"/>
          <w:szCs w:val="22"/>
          <w:lang w:val="en-US" w:eastAsia="it-IT"/>
          <w14:ligatures w14:val="none"/>
        </w:rPr>
        <w:t xml:space="preserve">. 2011;12(1):56–68. PMID: 21164525. </w:t>
      </w:r>
      <w:hyperlink r:id="rId7">
        <w:r>
          <w:rPr>
            <w:rStyle w:val="Hyperlink"/>
          </w:rPr>
          <w:t>https://doi.org/10.1038/nrg2918</w:t>
        </w:r>
      </w:hyperlink>
    </w:p>
    <w:p w14:paraId="621A03F6" w14:textId="77777777" w:rsidR="008D1A9F" w:rsidRPr="00140E9E" w:rsidRDefault="008D1A9F">
      <w:pPr>
        <w:rPr>
          <w:rFonts w:ascii="Arial" w:hAnsi="Arial" w:cs="Arial"/>
          <w:sz w:val="22"/>
          <w:szCs w:val="22"/>
          <w:lang w:val="en-US"/>
        </w:rPr>
      </w:pPr>
    </w:p>
    <w:p w14:paraId="76116CDC" w14:textId="2900444B" w:rsidR="008D1A9F" w:rsidRPr="00140E9E" w:rsidRDefault="008D1A9F" w:rsidP="008D1A9F">
      <w:pPr>
        <w:rPr>
          <w:rFonts w:ascii="Arial" w:hAnsi="Arial" w:cs="Arial"/>
          <w:sz w:val="22"/>
          <w:szCs w:val="22"/>
          <w:lang w:val="en-US"/>
        </w:rPr>
      </w:pPr>
      <w:r w:rsidRPr="00140E9E">
        <w:rPr>
          <w:rFonts w:ascii="Arial" w:hAnsi="Arial" w:cs="Arial"/>
          <w:sz w:val="22"/>
          <w:szCs w:val="22"/>
          <w:lang w:val="en-US"/>
        </w:rPr>
        <w:t xml:space="preserve">Cervenka I, Agudelo LZ, Ruas JL. Kynurenines: Tryptophan's metabolites in exercise, inflammation, and mental health. </w:t>
      </w:r>
      <w:r w:rsidRPr="00140E9E">
        <w:rPr>
          <w:i/>
          <w:rFonts w:ascii="Arial" w:hAnsi="Arial" w:cs="Arial"/>
          <w:sz w:val="22"/>
          <w:szCs w:val="22"/>
          <w:lang w:val="en-US"/>
          <w:iCs/>
        </w:rPr>
        <w:t>Science</w:t>
      </w:r>
      <w:r w:rsidRPr="00140E9E">
        <w:rPr>
          <w:rFonts w:ascii="Arial" w:hAnsi="Arial" w:cs="Arial"/>
          <w:sz w:val="22"/>
          <w:szCs w:val="22"/>
          <w:lang w:val="en-US"/>
        </w:rPr>
        <w:t>. 2017;357(6349):eaaf9794. PMID: 28751584.</w:t>
      </w:r>
      <w:r>
        <w:t xml:space="preserve"> </w:t>
      </w:r>
      <w:hyperlink r:id="rId8">
        <w:r>
          <w:rPr>
            <w:rStyle w:val="Hyperlink"/>
          </w:rPr>
          <w:t>https://doi.org/10.1126/science.aaf9794</w:t>
        </w:r>
      </w:hyperlink>
    </w:p>
    <w:p w14:paraId="20D2B426" w14:textId="77777777" w:rsidR="008D1A9F" w:rsidRPr="00140E9E" w:rsidRDefault="008D1A9F" w:rsidP="008D1A9F">
      <w:pPr>
        <w:rPr>
          <w:rFonts w:ascii="Arial" w:hAnsi="Arial" w:cs="Arial"/>
          <w:sz w:val="22"/>
          <w:szCs w:val="22"/>
          <w:lang w:val="en-US"/>
        </w:rPr>
      </w:pPr>
    </w:p>
    <w:p w14:paraId="158A2A50" w14:textId="77777777" w:rsidR="008D1A9F" w:rsidRPr="00140E9E" w:rsidRDefault="008D1A9F" w:rsidP="008D1A9F">
      <w:pPr>
        <w:rPr>
          <w:rFonts w:ascii="Arial" w:hAnsi="Arial" w:cs="Arial"/>
          <w:sz w:val="22"/>
          <w:szCs w:val="22"/>
          <w:lang w:val="en-US"/>
        </w:rPr>
      </w:pPr>
      <w:r w:rsidRPr="00140E9E">
        <w:rPr>
          <w:rFonts w:ascii="Arial" w:hAnsi="Arial" w:cs="Arial"/>
          <w:sz w:val="22"/>
          <w:szCs w:val="22"/>
          <w:lang w:val="en-US"/>
        </w:rPr>
        <w:t xml:space="preserve">Drucker DJ. Efficacy and safety of GLP-1 medicines for type 2 diabetes and obesity. </w:t>
      </w:r>
      <w:r w:rsidRPr="00140E9E">
        <w:rPr>
          <w:i/>
          <w:rFonts w:ascii="Arial" w:hAnsi="Arial" w:cs="Arial"/>
          <w:sz w:val="22"/>
          <w:szCs w:val="22"/>
          <w:lang w:val="en-US"/>
          <w:iCs/>
        </w:rPr>
        <w:t xml:space="preserve">Diabetes Care</w:t>
      </w:r>
      <w:r w:rsidRPr="00140E9E">
        <w:rPr>
          <w:rFonts w:ascii="Arial" w:hAnsi="Arial" w:cs="Arial"/>
          <w:sz w:val="22"/>
          <w:szCs w:val="22"/>
          <w:lang w:val="en-US"/>
        </w:rPr>
        <w:t xml:space="preserve">. 2024;47(11):1873–1888. PMID: 38843460. </w:t>
      </w:r>
      <w:r>
        <w:t xml:space="preserve"> </w:t>
      </w:r>
      <w:hyperlink r:id="rId9">
        <w:r>
          <w:rPr>
            <w:rStyle w:val="Hyperlink"/>
          </w:rPr>
          <w:t>https://doi.org/10.2337/dci24-0003</w:t>
        </w:r>
      </w:hyperlink>
    </w:p>
    <w:p w14:paraId="1FEB8567" w14:textId="77777777" w:rsidR="008D1A9F" w:rsidRPr="00140E9E" w:rsidRDefault="008D1A9F" w:rsidP="008D1A9F">
      <w:pPr>
        <w:rPr>
          <w:rFonts w:ascii="Arial" w:hAnsi="Arial" w:cs="Arial"/>
          <w:sz w:val="22"/>
          <w:szCs w:val="22"/>
          <w:lang w:val="en-US"/>
        </w:rPr>
      </w:pPr>
    </w:p>
    <w:p w14:paraId="7085F23C" w14:textId="77777777" w:rsidR="008D1A9F" w:rsidRPr="00140E9E" w:rsidRDefault="008D1A9F" w:rsidP="008D1A9F">
      <w:pPr>
        <w:rPr>
          <w:rFonts w:ascii="Arial" w:hAnsi="Arial" w:cs="Arial"/>
          <w:sz w:val="22"/>
          <w:szCs w:val="22"/>
          <w:lang w:val="en-US"/>
        </w:rPr>
      </w:pPr>
      <w:proofErr w:type="spellStart"/>
      <w:r w:rsidRPr="00140E9E">
        <w:rPr>
          <w:rFonts w:ascii="Arial" w:hAnsi="Arial" w:cs="Arial"/>
          <w:sz w:val="22"/>
          <w:szCs w:val="22"/>
          <w:lang w:val="en-US"/>
        </w:rPr>
        <w:t>Favennec</w:t>
      </w:r>
      <w:proofErr w:type="spellEnd"/>
      <w:r w:rsidRPr="00140E9E">
        <w:rPr>
          <w:rFonts w:ascii="Arial" w:hAnsi="Arial" w:cs="Arial"/>
          <w:sz w:val="22"/>
          <w:szCs w:val="22"/>
          <w:lang w:val="en-US"/>
        </w:rPr>
        <w:t xml:space="preserve"> M, </w:t>
      </w:r>
      <w:proofErr w:type="spellStart"/>
      <w:r w:rsidRPr="00140E9E">
        <w:rPr>
          <w:rFonts w:ascii="Arial" w:hAnsi="Arial" w:cs="Arial"/>
          <w:sz w:val="22"/>
          <w:szCs w:val="22"/>
          <w:lang w:val="en-US"/>
        </w:rPr>
        <w:t>Hennart</w:t>
      </w:r>
      <w:proofErr w:type="spellEnd"/>
      <w:r w:rsidRPr="00140E9E">
        <w:rPr>
          <w:rFonts w:ascii="Arial" w:hAnsi="Arial" w:cs="Arial"/>
          <w:sz w:val="22"/>
          <w:szCs w:val="22"/>
          <w:lang w:val="en-US"/>
        </w:rPr>
        <w:t xml:space="preserve"> B, Caiazzo R, et al. The kynurenine pathway is activated in human obesity and shifted toward kynurenine monooxygenase activation. </w:t>
      </w:r>
      <w:r w:rsidRPr="00140E9E">
        <w:rPr>
          <w:i/>
          <w:rFonts w:ascii="Arial" w:hAnsi="Arial" w:cs="Arial"/>
          <w:sz w:val="22"/>
          <w:szCs w:val="22"/>
          <w:lang w:val="en-US"/>
          <w:iCs/>
        </w:rPr>
        <w:t xml:space="preserve">Obesity (Silver Spring)</w:t>
      </w:r>
      <w:r w:rsidRPr="00140E9E">
        <w:rPr>
          <w:rFonts w:ascii="Arial" w:hAnsi="Arial" w:cs="Arial"/>
          <w:sz w:val="22"/>
          <w:szCs w:val="22"/>
          <w:lang w:val="en-US"/>
        </w:rPr>
        <w:t xml:space="preserve">. 2015;23(10):2066–2074. PMID: 26347385.</w:t>
      </w:r>
      <w:r>
        <w:t xml:space="preserve"> </w:t>
      </w:r>
      <w:hyperlink r:id="rId10">
        <w:r>
          <w:rPr>
            <w:rStyle w:val="Hyperlink"/>
          </w:rPr>
          <w:t>https://doi.org/10.1002/oby.21199</w:t>
        </w:r>
      </w:hyperlink>
    </w:p>
    <w:p w14:paraId="0A399F14" w14:textId="77777777" w:rsidR="008D1A9F" w:rsidRPr="00140E9E" w:rsidRDefault="008D1A9F" w:rsidP="008D1A9F">
      <w:pPr>
        <w:rPr>
          <w:rFonts w:ascii="Arial" w:hAnsi="Arial" w:cs="Arial"/>
          <w:sz w:val="22"/>
          <w:szCs w:val="22"/>
          <w:lang w:val="en-US"/>
        </w:rPr>
      </w:pPr>
    </w:p>
    <w:p w14:paraId="00EC35AB" w14:textId="566E0DB8" w:rsidR="008D1A9F" w:rsidRPr="00140E9E" w:rsidRDefault="008D1A9F" w:rsidP="008D1A9F">
      <w:pPr>
        <w:rPr>
          <w:rFonts w:ascii="Arial" w:hAnsi="Arial" w:cs="Arial"/>
          <w:sz w:val="22"/>
          <w:szCs w:val="22"/>
          <w:lang w:val="en-US"/>
        </w:rPr>
      </w:pPr>
      <w:proofErr w:type="spellStart"/>
      <w:r w:rsidRPr="00140E9E">
        <w:rPr>
          <w:rFonts w:ascii="Arial" w:hAnsi="Arial" w:cs="Arial"/>
          <w:sz w:val="22"/>
          <w:szCs w:val="22"/>
          <w:lang w:val="en-US"/>
        </w:rPr>
        <w:t>Laferrère</w:t>
      </w:r>
      <w:proofErr w:type="spellEnd"/>
      <w:r w:rsidRPr="00140E9E">
        <w:rPr>
          <w:rFonts w:ascii="Arial" w:hAnsi="Arial" w:cs="Arial"/>
          <w:sz w:val="22"/>
          <w:szCs w:val="22"/>
          <w:lang w:val="en-US"/>
        </w:rPr>
        <w:t xml:space="preserve"> B, Teixeira J, McGinty J, et al. Effect of weight loss by gastric bypass surgery versus hypocaloric diet on glucose and incretin levels in patients with type 2 diabetes. </w:t>
      </w:r>
      <w:r w:rsidRPr="00140E9E">
        <w:rPr>
          <w:i/>
          <w:rFonts w:ascii="Arial" w:hAnsi="Arial" w:cs="Arial"/>
          <w:sz w:val="22"/>
          <w:szCs w:val="22"/>
          <w:lang w:val="en-US"/>
          <w:iCs/>
        </w:rPr>
        <w:t xml:space="preserve">J Clin Endocrinol </w:t>
      </w:r>
      <w:proofErr w:type="spellStart"/>
      <w:r w:rsidRPr="00140E9E">
        <w:rPr>
          <w:rFonts w:ascii="Arial" w:hAnsi="Arial" w:cs="Arial"/>
          <w:i/>
          <w:sz w:val="22"/>
          <w:szCs w:val="22"/>
          <w:lang w:val="en-US"/>
        </w:rPr>
        <w:t>Metab</w:t>
      </w:r>
      <w:proofErr w:type="spellEnd"/>
      <w:r w:rsidRPr="00140E9E">
        <w:rPr>
          <w:rFonts w:ascii="Arial" w:hAnsi="Arial" w:cs="Arial"/>
          <w:sz w:val="22"/>
          <w:szCs w:val="22"/>
          <w:lang w:val="en-US"/>
        </w:rPr>
        <w:t xml:space="preserve">. 2008;93(7):2479–2485. PMID: 18430778. </w:t>
      </w:r>
      <w:r>
        <w:t xml:space="preserve"> </w:t>
      </w:r>
      <w:hyperlink r:id="rId11">
        <w:r>
          <w:rPr>
            <w:rStyle w:val="Hyperlink"/>
          </w:rPr>
          <w:t>https://doi.org/10.1210/jc.2007-2851</w:t>
        </w:r>
      </w:hyperlink>
    </w:p>
    <w:p w14:paraId="47586253" w14:textId="77777777" w:rsidR="008D1A9F" w:rsidRPr="00140E9E" w:rsidRDefault="008D1A9F" w:rsidP="008D1A9F">
      <w:pPr>
        <w:rPr>
          <w:rFonts w:ascii="Arial" w:hAnsi="Arial" w:cs="Arial"/>
          <w:sz w:val="22"/>
          <w:szCs w:val="22"/>
          <w:lang w:val="en-US"/>
        </w:rPr>
      </w:pPr>
    </w:p>
    <w:p w14:paraId="1A98BB22" w14:textId="704FD832" w:rsidR="008D1A9F" w:rsidRPr="00140E9E" w:rsidRDefault="008D1A9F" w:rsidP="008D1A9F">
      <w:pPr>
        <w:shd w:val="clear" w:color="auto" w:fill="FFFFFF"/>
        <w:rPr>
          <w:rFonts w:ascii="Arial" w:eastAsia="Times New Roman" w:hAnsi="Arial" w:cs="Arial"/>
          <w:color w:val="000000"/>
          <w:kern w:val="0"/>
          <w:sz w:val="22"/>
          <w:szCs w:val="22"/>
          <w:lang w:val="en-US" w:eastAsia="it-IT"/>
          <w14:ligatures w14:val="none"/>
        </w:rPr>
      </w:pPr>
      <w:r w:rsidRPr="00140E9E">
        <w:rPr>
          <w:rFonts w:ascii="Arial" w:eastAsia="Times New Roman" w:hAnsi="Arial" w:cs="Arial"/>
          <w:color w:val="000000"/>
          <w:kern w:val="0"/>
          <w:sz w:val="22"/>
          <w:szCs w:val="22"/>
          <w:lang w:val="en-US" w:eastAsia="it-IT"/>
          <w14:ligatures w14:val="none"/>
        </w:rPr>
        <w:t>Morris JH, Soman K, Akbas RE, et al. The Scalable Precision Medicine Open Knowledge Engine (SPOKE): a massive knowledge graph of biomedical information. </w:t>
      </w:r>
      <w:r w:rsidRPr="00140E9E">
        <w:rPr>
          <w:rFonts w:ascii="Arial" w:eastAsia="Times New Roman" w:hAnsi="Arial" w:cs="Arial"/>
          <w:i/>
          <w:iCs/>
          <w:color w:val="000000"/>
          <w:kern w:val="0"/>
          <w:sz w:val="22"/>
          <w:szCs w:val="22"/>
          <w:lang w:val="en-US" w:eastAsia="it-IT"/>
          <w14:ligatures w14:val="none"/>
        </w:rPr>
        <w:t>Bioinformatics</w:t>
      </w:r>
      <w:r w:rsidRPr="00140E9E">
        <w:rPr>
          <w:rFonts w:ascii="Arial" w:eastAsia="Times New Roman" w:hAnsi="Arial" w:cs="Arial"/>
          <w:color w:val="000000"/>
          <w:kern w:val="0"/>
          <w:sz w:val="22"/>
          <w:szCs w:val="22"/>
          <w:lang w:val="en-US" w:eastAsia="it-IT"/>
          <w14:ligatures w14:val="none"/>
        </w:rPr>
        <w:t xml:space="preserve">. 2023;39(2):btad080. PMID: 36759942. </w:t>
      </w:r>
      <w:r>
        <w:t xml:space="preserve"> </w:t>
      </w:r>
      <w:hyperlink r:id="rId12">
        <w:r>
          <w:rPr>
            <w:rStyle w:val="Hyperlink"/>
          </w:rPr>
          <w:t>https://doi.org/10.1093/bioinformatics/btad080</w:t>
        </w:r>
      </w:hyperlink>
    </w:p>
    <w:p w14:paraId="237A0183" w14:textId="77777777" w:rsidR="008D1A9F" w:rsidRPr="00140E9E" w:rsidRDefault="008D1A9F" w:rsidP="008D1A9F">
      <w:pPr>
        <w:rPr>
          <w:rFonts w:ascii="Arial" w:hAnsi="Arial" w:cs="Arial"/>
          <w:sz w:val="22"/>
          <w:szCs w:val="22"/>
          <w:lang w:val="en-US"/>
        </w:rPr>
      </w:pPr>
    </w:p>
    <w:p w14:paraId="00D3877D" w14:textId="49D9B2F4" w:rsidR="008D1A9F" w:rsidRPr="00140E9E" w:rsidRDefault="008D1A9F" w:rsidP="008D1A9F">
      <w:pPr>
        <w:rPr>
          <w:rFonts w:ascii="Arial" w:hAnsi="Arial" w:cs="Arial"/>
          <w:sz w:val="22"/>
          <w:szCs w:val="22"/>
          <w:lang w:val="en-US"/>
        </w:rPr>
      </w:pPr>
      <w:r w:rsidRPr="00140E9E">
        <w:rPr>
          <w:rFonts w:ascii="Arial" w:hAnsi="Arial" w:cs="Arial"/>
          <w:sz w:val="22"/>
          <w:szCs w:val="22"/>
          <w:lang w:val="en-US"/>
        </w:rPr>
        <w:t xml:space="preserve">Penney NC, Kinross J, Newton RC, Purkayastha S. The role of bile acids in reducing the metabolic complications of obesity after bariatric surgery: a systematic review. </w:t>
      </w:r>
      <w:r w:rsidRPr="00140E9E">
        <w:rPr>
          <w:i/>
          <w:rFonts w:ascii="Arial" w:hAnsi="Arial" w:cs="Arial"/>
          <w:sz w:val="22"/>
          <w:szCs w:val="22"/>
          <w:lang w:val="en-US"/>
          <w:iCs/>
        </w:rPr>
        <w:t xml:space="preserve">Int J </w:t>
      </w:r>
      <w:proofErr w:type="spellStart"/>
      <w:r w:rsidRPr="00140E9E">
        <w:rPr>
          <w:rFonts w:ascii="Arial" w:hAnsi="Arial" w:cs="Arial"/>
          <w:i/>
          <w:sz w:val="22"/>
          <w:szCs w:val="22"/>
          <w:lang w:val="en-US"/>
        </w:rPr>
        <w:t>Obes</w:t>
      </w:r>
      <w:proofErr w:type="spellEnd"/>
      <w:r w:rsidRPr="00140E9E">
        <w:rPr>
          <w:i/>
          <w:rFonts w:ascii="Arial" w:hAnsi="Arial" w:cs="Arial"/>
          <w:sz w:val="22"/>
          <w:szCs w:val="22"/>
          <w:lang w:val="en-US"/>
          <w:iCs/>
        </w:rPr>
        <w:t xml:space="preserve"> (Lond)</w:t>
      </w:r>
      <w:r w:rsidRPr="00140E9E">
        <w:rPr>
          <w:rFonts w:ascii="Arial" w:hAnsi="Arial" w:cs="Arial"/>
          <w:sz w:val="22"/>
          <w:szCs w:val="22"/>
          <w:lang w:val="en-US"/>
        </w:rPr>
        <w:t xml:space="preserve">. 2015;39(11):1565–1574. PMID: 26081915. </w:t>
      </w:r>
      <w:r>
        <w:t xml:space="preserve"> </w:t>
      </w:r>
      <w:hyperlink r:id="rId13">
        <w:r>
          <w:rPr>
            <w:rStyle w:val="Hyperlink"/>
          </w:rPr>
          <w:t>https://doi.org/10.1038/ijo.2015.115</w:t>
        </w:r>
      </w:hyperlink>
    </w:p>
    <w:p w14:paraId="528D56B8" w14:textId="77777777" w:rsidR="008D1A9F" w:rsidRPr="00140E9E" w:rsidRDefault="008D1A9F" w:rsidP="008D1A9F">
      <w:pPr>
        <w:rPr>
          <w:rFonts w:ascii="Arial" w:hAnsi="Arial" w:cs="Arial"/>
          <w:sz w:val="22"/>
          <w:szCs w:val="22"/>
          <w:lang w:val="en-US"/>
        </w:rPr>
      </w:pPr>
    </w:p>
    <w:p w14:paraId="4E0179E3" w14:textId="7ACABBF4" w:rsidR="008D1A9F" w:rsidRPr="00140E9E" w:rsidRDefault="008D1A9F" w:rsidP="008D1A9F">
      <w:pPr>
        <w:rPr>
          <w:rFonts w:ascii="Arial" w:hAnsi="Arial" w:cs="Arial"/>
          <w:sz w:val="22"/>
          <w:szCs w:val="22"/>
          <w:lang w:val="en-US"/>
        </w:rPr>
      </w:pPr>
      <w:r w:rsidRPr="00140E9E">
        <w:rPr>
          <w:rFonts w:ascii="Arial" w:hAnsi="Arial" w:cs="Arial"/>
          <w:sz w:val="22"/>
          <w:szCs w:val="22"/>
          <w:lang w:val="en-US"/>
        </w:rPr>
        <w:t xml:space="preserve">Pilz S, </w:t>
      </w:r>
      <w:proofErr w:type="spellStart"/>
      <w:r w:rsidRPr="00140E9E">
        <w:rPr>
          <w:rFonts w:ascii="Arial" w:hAnsi="Arial" w:cs="Arial"/>
          <w:sz w:val="22"/>
          <w:szCs w:val="22"/>
          <w:lang w:val="en-US"/>
        </w:rPr>
        <w:t>Meinitzer</w:t>
      </w:r>
      <w:proofErr w:type="spellEnd"/>
      <w:r w:rsidRPr="00140E9E">
        <w:rPr>
          <w:rFonts w:ascii="Arial" w:hAnsi="Arial" w:cs="Arial"/>
          <w:sz w:val="22"/>
          <w:szCs w:val="22"/>
          <w:lang w:val="en-US"/>
        </w:rPr>
        <w:t xml:space="preserve"> A, </w:t>
      </w:r>
      <w:proofErr w:type="spellStart"/>
      <w:r w:rsidRPr="00140E9E">
        <w:rPr>
          <w:rFonts w:ascii="Arial" w:hAnsi="Arial" w:cs="Arial"/>
          <w:sz w:val="22"/>
          <w:szCs w:val="22"/>
          <w:lang w:val="en-US"/>
        </w:rPr>
        <w:t>Gaksch</w:t>
      </w:r>
      <w:proofErr w:type="spellEnd"/>
      <w:r w:rsidRPr="00140E9E">
        <w:rPr>
          <w:rFonts w:ascii="Arial" w:hAnsi="Arial" w:cs="Arial"/>
          <w:sz w:val="22"/>
          <w:szCs w:val="22"/>
          <w:lang w:val="en-US"/>
        </w:rPr>
        <w:t xml:space="preserve"> M, et al. Homoarginine in the renal and cardiovascular systems. </w:t>
      </w:r>
      <w:r w:rsidRPr="00140E9E">
        <w:rPr>
          <w:i/>
          <w:rFonts w:ascii="Arial" w:hAnsi="Arial" w:cs="Arial"/>
          <w:sz w:val="22"/>
          <w:szCs w:val="22"/>
          <w:lang w:val="en-US"/>
          <w:iCs/>
        </w:rPr>
        <w:t xml:space="preserve">Amino Acids</w:t>
      </w:r>
      <w:r w:rsidRPr="00140E9E">
        <w:rPr>
          <w:rFonts w:ascii="Arial" w:hAnsi="Arial" w:cs="Arial"/>
          <w:sz w:val="22"/>
          <w:szCs w:val="22"/>
          <w:lang w:val="en-US"/>
        </w:rPr>
        <w:t xml:space="preserve">. 2015;47(9):1703–1713. PMID: 25929587. </w:t>
      </w:r>
      <w:r>
        <w:t xml:space="preserve"> </w:t>
      </w:r>
      <w:hyperlink r:id="rId14">
        <w:r>
          <w:rPr>
            <w:rStyle w:val="Hyperlink"/>
          </w:rPr>
          <w:t>https://doi.org/10.1007/s00726-015-1993-2</w:t>
        </w:r>
      </w:hyperlink>
    </w:p>
    <w:p w14:paraId="732063BF" w14:textId="77777777" w:rsidR="008D1A9F" w:rsidRPr="00140E9E" w:rsidRDefault="008D1A9F" w:rsidP="008D1A9F">
      <w:pPr>
        <w:rPr>
          <w:rFonts w:ascii="Arial" w:hAnsi="Arial" w:cs="Arial"/>
          <w:sz w:val="22"/>
          <w:szCs w:val="22"/>
          <w:lang w:val="en-US"/>
        </w:rPr>
      </w:pPr>
    </w:p>
    <w:p w14:paraId="29ADD6A3" w14:textId="6C199D26" w:rsidR="008D1A9F" w:rsidRPr="00140E9E" w:rsidRDefault="008D1A9F" w:rsidP="008D1A9F">
      <w:pPr>
        <w:rPr>
          <w:rFonts w:ascii="Arial" w:hAnsi="Arial" w:cs="Arial"/>
          <w:sz w:val="22"/>
          <w:szCs w:val="22"/>
          <w:lang w:val="en-US"/>
        </w:rPr>
      </w:pPr>
      <w:r w:rsidRPr="00140E9E">
        <w:rPr>
          <w:rFonts w:ascii="Arial" w:hAnsi="Arial" w:cs="Arial"/>
          <w:sz w:val="22"/>
          <w:szCs w:val="22"/>
          <w:lang w:val="en-US"/>
        </w:rPr>
        <w:t>Roberts LD, Boström P, O'Sullivan JF, et al. β-</w:t>
      </w:r>
      <w:proofErr w:type="spellStart"/>
      <w:r w:rsidRPr="00140E9E">
        <w:rPr>
          <w:rFonts w:ascii="Arial" w:hAnsi="Arial" w:cs="Arial"/>
          <w:sz w:val="22"/>
          <w:szCs w:val="22"/>
          <w:lang w:val="en-US"/>
        </w:rPr>
        <w:t>Aminoisobutyric</w:t>
      </w:r>
      <w:proofErr w:type="spellEnd"/>
      <w:r w:rsidRPr="00140E9E">
        <w:rPr>
          <w:rFonts w:ascii="Arial" w:hAnsi="Arial" w:cs="Arial"/>
          <w:sz w:val="22"/>
          <w:szCs w:val="22"/>
          <w:lang w:val="en-US"/>
        </w:rPr>
        <w:t xml:space="preserve"> acid induces browning of white fat and hepatic β-oxidation and is inversely correlated with cardiometabolic risk factors. </w:t>
      </w:r>
      <w:r w:rsidRPr="00140E9E">
        <w:rPr>
          <w:i/>
          <w:rFonts w:ascii="Arial" w:hAnsi="Arial" w:cs="Arial"/>
          <w:sz w:val="22"/>
          <w:szCs w:val="22"/>
          <w:lang w:val="en-US"/>
          <w:iCs/>
        </w:rPr>
        <w:t xml:space="preserve">Cell </w:t>
      </w:r>
      <w:proofErr w:type="spellStart"/>
      <w:r w:rsidRPr="00140E9E">
        <w:rPr>
          <w:rFonts w:ascii="Arial" w:hAnsi="Arial" w:cs="Arial"/>
          <w:i/>
          <w:sz w:val="22"/>
          <w:szCs w:val="22"/>
          <w:lang w:val="en-US"/>
        </w:rPr>
        <w:t>Metab</w:t>
      </w:r>
      <w:proofErr w:type="spellEnd"/>
      <w:r w:rsidRPr="00140E9E">
        <w:rPr>
          <w:rFonts w:ascii="Arial" w:hAnsi="Arial" w:cs="Arial"/>
          <w:sz w:val="22"/>
          <w:szCs w:val="22"/>
          <w:lang w:val="en-US"/>
        </w:rPr>
        <w:t xml:space="preserve">. 2014;19(1):96–108. PMID: 24411942. </w:t>
      </w:r>
      <w:r>
        <w:t xml:space="preserve"> </w:t>
      </w:r>
      <w:hyperlink r:id="rId15">
        <w:r>
          <w:rPr>
            <w:rStyle w:val="Hyperlink"/>
          </w:rPr>
          <w:t>https://doi.org/10.1016/j.cmet.2013.12.003</w:t>
        </w:r>
      </w:hyperlink>
    </w:p>
    <w:p w14:paraId="1FAE56EA" w14:textId="77777777" w:rsidR="008D1A9F" w:rsidRPr="00140E9E" w:rsidRDefault="008D1A9F" w:rsidP="008D1A9F">
      <w:pPr>
        <w:rPr>
          <w:rFonts w:ascii="Arial" w:hAnsi="Arial" w:cs="Arial"/>
          <w:sz w:val="22"/>
          <w:szCs w:val="22"/>
          <w:lang w:val="en-US"/>
        </w:rPr>
      </w:pPr>
    </w:p>
    <w:p w14:paraId="476C37BA" w14:textId="0D0FFC4A" w:rsidR="008D1A9F" w:rsidRPr="00140E9E" w:rsidRDefault="008D1A9F" w:rsidP="008D1A9F">
      <w:pPr>
        <w:rPr>
          <w:rFonts w:ascii="Arial" w:hAnsi="Arial" w:cs="Arial"/>
          <w:sz w:val="22"/>
          <w:szCs w:val="22"/>
          <w:lang w:val="en-US"/>
        </w:rPr>
      </w:pPr>
      <w:r w:rsidRPr="00140E9E">
        <w:rPr>
          <w:rFonts w:ascii="Arial" w:hAnsi="Arial" w:cs="Arial"/>
          <w:sz w:val="22"/>
          <w:szCs w:val="22"/>
          <w:lang w:val="en-US"/>
        </w:rPr>
        <w:t xml:space="preserve">Rosen CJ, </w:t>
      </w:r>
      <w:proofErr w:type="spellStart"/>
      <w:r w:rsidRPr="00140E9E">
        <w:rPr>
          <w:rFonts w:ascii="Arial" w:hAnsi="Arial" w:cs="Arial"/>
          <w:sz w:val="22"/>
          <w:szCs w:val="22"/>
          <w:lang w:val="en-US"/>
        </w:rPr>
        <w:t>Ingelfinger</w:t>
      </w:r>
      <w:proofErr w:type="spellEnd"/>
      <w:r w:rsidRPr="00140E9E">
        <w:rPr>
          <w:rFonts w:ascii="Arial" w:hAnsi="Arial" w:cs="Arial"/>
          <w:sz w:val="22"/>
          <w:szCs w:val="22"/>
          <w:lang w:val="en-US"/>
        </w:rPr>
        <w:t xml:space="preserve"> JR. GLP-1 receptor agonists. </w:t>
      </w:r>
      <w:r w:rsidRPr="00140E9E">
        <w:rPr>
          <w:i/>
          <w:rFonts w:ascii="Arial" w:hAnsi="Arial" w:cs="Arial"/>
          <w:sz w:val="22"/>
          <w:szCs w:val="22"/>
          <w:lang w:val="en-US"/>
          <w:iCs/>
        </w:rPr>
        <w:t xml:space="preserve">N Engl J Med</w:t>
      </w:r>
      <w:r w:rsidRPr="00140E9E">
        <w:rPr>
          <w:rFonts w:ascii="Arial" w:hAnsi="Arial" w:cs="Arial"/>
          <w:sz w:val="22"/>
          <w:szCs w:val="22"/>
          <w:lang w:val="en-US"/>
        </w:rPr>
        <w:t xml:space="preserve">. 2026;394(13):1313–1324. PMID: 41931049. </w:t>
      </w:r>
      <w:r>
        <w:t xml:space="preserve"> </w:t>
      </w:r>
      <w:hyperlink r:id="rId16">
        <w:r>
          <w:rPr>
            <w:rStyle w:val="Hyperlink"/>
          </w:rPr>
          <w:t>https://doi.org/10.1056/NEJMra2500106</w:t>
        </w:r>
      </w:hyperlink>
    </w:p>
    <w:p w14:paraId="54C67ADD" w14:textId="24EFA0C3" w:rsidR="008D1A9F" w:rsidRPr="00140E9E" w:rsidRDefault="008D1A9F" w:rsidP="008D1A9F">
      <w:pPr>
        <w:rPr>
          <w:rFonts w:ascii="Arial" w:hAnsi="Arial" w:cs="Arial"/>
          <w:sz w:val="22"/>
          <w:szCs w:val="22"/>
          <w:lang w:val="en-US"/>
        </w:rPr>
      </w:pPr>
      <w:r w:rsidRPr="00140E9E">
        <w:rPr>
          <w:rFonts w:ascii="Arial" w:hAnsi="Arial" w:cs="Arial"/>
          <w:sz w:val="22"/>
          <w:szCs w:val="22"/>
          <w:lang w:val="en-US"/>
        </w:rPr>
        <w:t xml:space="preserve"> </w:t>
      </w:r>
    </w:p>
    <w:sectPr w:rsidR="008D1A9F" w:rsidRPr="00140E9E" w:rsidSect="00470B7A">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655"/>
    <w:multiLevelType w:val="multilevel"/>
    <w:tmpl w:val="23F62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2D0932"/>
    <w:multiLevelType w:val="hybridMultilevel"/>
    <w:tmpl w:val="84BEFF10"/>
    <w:lvl w:ilvl="0" w:tplc="972E332C">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AEE12E1"/>
    <w:multiLevelType w:val="hybridMultilevel"/>
    <w:tmpl w:val="EB70B7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60EE45B2"/>
    <w:multiLevelType w:val="multilevel"/>
    <w:tmpl w:val="1F0C7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211598">
    <w:abstractNumId w:val="0"/>
  </w:num>
  <w:num w:numId="2" w16cid:durableId="166985847">
    <w:abstractNumId w:val="3"/>
  </w:num>
  <w:num w:numId="3" w16cid:durableId="430468765">
    <w:abstractNumId w:val="2"/>
  </w:num>
  <w:num w:numId="4" w16cid:durableId="1023940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774"/>
    <w:rsid w:val="00002256"/>
    <w:rsid w:val="000056D4"/>
    <w:rsid w:val="000060CA"/>
    <w:rsid w:val="00006823"/>
    <w:rsid w:val="00013C50"/>
    <w:rsid w:val="00013CAC"/>
    <w:rsid w:val="00016A38"/>
    <w:rsid w:val="00022FF8"/>
    <w:rsid w:val="00023A37"/>
    <w:rsid w:val="000265A5"/>
    <w:rsid w:val="00026880"/>
    <w:rsid w:val="0003112A"/>
    <w:rsid w:val="0003179C"/>
    <w:rsid w:val="00031F2B"/>
    <w:rsid w:val="00040A12"/>
    <w:rsid w:val="00044DB3"/>
    <w:rsid w:val="00046A75"/>
    <w:rsid w:val="000471F6"/>
    <w:rsid w:val="00050544"/>
    <w:rsid w:val="00052372"/>
    <w:rsid w:val="00054BC5"/>
    <w:rsid w:val="00055B5B"/>
    <w:rsid w:val="0005747A"/>
    <w:rsid w:val="0006718C"/>
    <w:rsid w:val="00073740"/>
    <w:rsid w:val="00076F9C"/>
    <w:rsid w:val="00081963"/>
    <w:rsid w:val="00092997"/>
    <w:rsid w:val="000A004B"/>
    <w:rsid w:val="000B04AD"/>
    <w:rsid w:val="000B0B6F"/>
    <w:rsid w:val="000B27A3"/>
    <w:rsid w:val="000B2C55"/>
    <w:rsid w:val="000B4E4B"/>
    <w:rsid w:val="000C2B54"/>
    <w:rsid w:val="000C2CCE"/>
    <w:rsid w:val="000C312E"/>
    <w:rsid w:val="000C6A92"/>
    <w:rsid w:val="000D4F3C"/>
    <w:rsid w:val="000D7B47"/>
    <w:rsid w:val="000E3C22"/>
    <w:rsid w:val="000E5E19"/>
    <w:rsid w:val="000F2DE8"/>
    <w:rsid w:val="000F4F84"/>
    <w:rsid w:val="000F6218"/>
    <w:rsid w:val="0010453C"/>
    <w:rsid w:val="0010471F"/>
    <w:rsid w:val="001110C7"/>
    <w:rsid w:val="001117B7"/>
    <w:rsid w:val="001163D0"/>
    <w:rsid w:val="00125126"/>
    <w:rsid w:val="00127B45"/>
    <w:rsid w:val="001357DF"/>
    <w:rsid w:val="00140E9E"/>
    <w:rsid w:val="0015727C"/>
    <w:rsid w:val="00171128"/>
    <w:rsid w:val="00175877"/>
    <w:rsid w:val="00180458"/>
    <w:rsid w:val="00182E25"/>
    <w:rsid w:val="00187509"/>
    <w:rsid w:val="001876C7"/>
    <w:rsid w:val="001916D8"/>
    <w:rsid w:val="00192C9A"/>
    <w:rsid w:val="00194B2F"/>
    <w:rsid w:val="00195D84"/>
    <w:rsid w:val="001A18AC"/>
    <w:rsid w:val="001A1C4C"/>
    <w:rsid w:val="001A24E5"/>
    <w:rsid w:val="001A2FD2"/>
    <w:rsid w:val="001A3206"/>
    <w:rsid w:val="001A5796"/>
    <w:rsid w:val="001B0433"/>
    <w:rsid w:val="001B091B"/>
    <w:rsid w:val="001B46F7"/>
    <w:rsid w:val="001B4BF0"/>
    <w:rsid w:val="001B4DDA"/>
    <w:rsid w:val="001D1050"/>
    <w:rsid w:val="001D518E"/>
    <w:rsid w:val="001E28E1"/>
    <w:rsid w:val="001E3B7E"/>
    <w:rsid w:val="001E6AB9"/>
    <w:rsid w:val="001E7659"/>
    <w:rsid w:val="001F3CF5"/>
    <w:rsid w:val="001F5270"/>
    <w:rsid w:val="001F57B6"/>
    <w:rsid w:val="002014DE"/>
    <w:rsid w:val="0020513B"/>
    <w:rsid w:val="00206E6B"/>
    <w:rsid w:val="002070EE"/>
    <w:rsid w:val="00210DA9"/>
    <w:rsid w:val="00212096"/>
    <w:rsid w:val="00212B27"/>
    <w:rsid w:val="002209E1"/>
    <w:rsid w:val="00223A52"/>
    <w:rsid w:val="00223C85"/>
    <w:rsid w:val="0022500C"/>
    <w:rsid w:val="00225F62"/>
    <w:rsid w:val="0022664D"/>
    <w:rsid w:val="00231A01"/>
    <w:rsid w:val="002401E6"/>
    <w:rsid w:val="002437F7"/>
    <w:rsid w:val="00245A0B"/>
    <w:rsid w:val="00247F2E"/>
    <w:rsid w:val="00253F64"/>
    <w:rsid w:val="00257984"/>
    <w:rsid w:val="00257CFE"/>
    <w:rsid w:val="002736D6"/>
    <w:rsid w:val="00282576"/>
    <w:rsid w:val="00285B88"/>
    <w:rsid w:val="002A6456"/>
    <w:rsid w:val="002B1C44"/>
    <w:rsid w:val="002B39AB"/>
    <w:rsid w:val="002B4E8B"/>
    <w:rsid w:val="002B63D3"/>
    <w:rsid w:val="002B6B67"/>
    <w:rsid w:val="002B75FC"/>
    <w:rsid w:val="002B7A00"/>
    <w:rsid w:val="002C3946"/>
    <w:rsid w:val="002C4A5D"/>
    <w:rsid w:val="002C4AC0"/>
    <w:rsid w:val="002D2100"/>
    <w:rsid w:val="002D546B"/>
    <w:rsid w:val="002D5C50"/>
    <w:rsid w:val="002E0248"/>
    <w:rsid w:val="002E55A9"/>
    <w:rsid w:val="002F08DE"/>
    <w:rsid w:val="002F2AE0"/>
    <w:rsid w:val="002F727F"/>
    <w:rsid w:val="00302BF2"/>
    <w:rsid w:val="00307B96"/>
    <w:rsid w:val="00311F54"/>
    <w:rsid w:val="003132C2"/>
    <w:rsid w:val="003152AA"/>
    <w:rsid w:val="00323664"/>
    <w:rsid w:val="0032487F"/>
    <w:rsid w:val="00327BDD"/>
    <w:rsid w:val="0033071D"/>
    <w:rsid w:val="00331B68"/>
    <w:rsid w:val="0033241C"/>
    <w:rsid w:val="00342D84"/>
    <w:rsid w:val="00343C1C"/>
    <w:rsid w:val="00344AEE"/>
    <w:rsid w:val="00345B6E"/>
    <w:rsid w:val="00347F3D"/>
    <w:rsid w:val="00355EBF"/>
    <w:rsid w:val="00375B40"/>
    <w:rsid w:val="00382A18"/>
    <w:rsid w:val="003912D1"/>
    <w:rsid w:val="003938D2"/>
    <w:rsid w:val="00397239"/>
    <w:rsid w:val="003C28C6"/>
    <w:rsid w:val="003C4119"/>
    <w:rsid w:val="003C5A4D"/>
    <w:rsid w:val="003C5EC3"/>
    <w:rsid w:val="003D14C2"/>
    <w:rsid w:val="003D3073"/>
    <w:rsid w:val="003D364D"/>
    <w:rsid w:val="003E0EDB"/>
    <w:rsid w:val="003E425A"/>
    <w:rsid w:val="003E5DC0"/>
    <w:rsid w:val="003E782D"/>
    <w:rsid w:val="003E7E7C"/>
    <w:rsid w:val="003F3778"/>
    <w:rsid w:val="003F5578"/>
    <w:rsid w:val="003F5EBA"/>
    <w:rsid w:val="004019CB"/>
    <w:rsid w:val="00411FA7"/>
    <w:rsid w:val="00412E8D"/>
    <w:rsid w:val="00413221"/>
    <w:rsid w:val="00420A8A"/>
    <w:rsid w:val="00425F85"/>
    <w:rsid w:val="0043056B"/>
    <w:rsid w:val="00435B00"/>
    <w:rsid w:val="004410B6"/>
    <w:rsid w:val="00441B56"/>
    <w:rsid w:val="00441FAA"/>
    <w:rsid w:val="004427E8"/>
    <w:rsid w:val="004513E0"/>
    <w:rsid w:val="00452AC4"/>
    <w:rsid w:val="00453CF4"/>
    <w:rsid w:val="004648AB"/>
    <w:rsid w:val="00464F00"/>
    <w:rsid w:val="00470B7A"/>
    <w:rsid w:val="0047342B"/>
    <w:rsid w:val="00474FD2"/>
    <w:rsid w:val="00483BBE"/>
    <w:rsid w:val="00486EBA"/>
    <w:rsid w:val="00490C74"/>
    <w:rsid w:val="004A1F51"/>
    <w:rsid w:val="004B078D"/>
    <w:rsid w:val="004B21C5"/>
    <w:rsid w:val="004B675D"/>
    <w:rsid w:val="004C5EBA"/>
    <w:rsid w:val="004D7114"/>
    <w:rsid w:val="004E1D46"/>
    <w:rsid w:val="004E3D8D"/>
    <w:rsid w:val="004E7795"/>
    <w:rsid w:val="004E7813"/>
    <w:rsid w:val="00502147"/>
    <w:rsid w:val="00502F07"/>
    <w:rsid w:val="00507312"/>
    <w:rsid w:val="0051119B"/>
    <w:rsid w:val="005133D5"/>
    <w:rsid w:val="00513699"/>
    <w:rsid w:val="00516927"/>
    <w:rsid w:val="00522985"/>
    <w:rsid w:val="00524CC7"/>
    <w:rsid w:val="00530A7F"/>
    <w:rsid w:val="00534917"/>
    <w:rsid w:val="005458FA"/>
    <w:rsid w:val="005506A6"/>
    <w:rsid w:val="005537B1"/>
    <w:rsid w:val="00555F58"/>
    <w:rsid w:val="00557579"/>
    <w:rsid w:val="00560195"/>
    <w:rsid w:val="00563C79"/>
    <w:rsid w:val="00566D88"/>
    <w:rsid w:val="00575DF4"/>
    <w:rsid w:val="00575F95"/>
    <w:rsid w:val="005861C9"/>
    <w:rsid w:val="00593B39"/>
    <w:rsid w:val="00597694"/>
    <w:rsid w:val="005A303E"/>
    <w:rsid w:val="005A38E5"/>
    <w:rsid w:val="005A4578"/>
    <w:rsid w:val="005A5E4B"/>
    <w:rsid w:val="005B0878"/>
    <w:rsid w:val="005C11AD"/>
    <w:rsid w:val="005C1D8A"/>
    <w:rsid w:val="005C4D71"/>
    <w:rsid w:val="005C61BB"/>
    <w:rsid w:val="005C7AE9"/>
    <w:rsid w:val="005D2D10"/>
    <w:rsid w:val="005E08C3"/>
    <w:rsid w:val="005E246D"/>
    <w:rsid w:val="005E733A"/>
    <w:rsid w:val="005F789E"/>
    <w:rsid w:val="00602C94"/>
    <w:rsid w:val="00607B6A"/>
    <w:rsid w:val="00615C01"/>
    <w:rsid w:val="00620136"/>
    <w:rsid w:val="00625DA1"/>
    <w:rsid w:val="0062642B"/>
    <w:rsid w:val="00626C41"/>
    <w:rsid w:val="006325D3"/>
    <w:rsid w:val="00637559"/>
    <w:rsid w:val="00637FDA"/>
    <w:rsid w:val="00642EE6"/>
    <w:rsid w:val="00642F33"/>
    <w:rsid w:val="0064526B"/>
    <w:rsid w:val="0064706C"/>
    <w:rsid w:val="00647E07"/>
    <w:rsid w:val="00655AD4"/>
    <w:rsid w:val="00662CFE"/>
    <w:rsid w:val="00663204"/>
    <w:rsid w:val="00664523"/>
    <w:rsid w:val="0066583D"/>
    <w:rsid w:val="0066589A"/>
    <w:rsid w:val="006705A2"/>
    <w:rsid w:val="00671D34"/>
    <w:rsid w:val="006727E7"/>
    <w:rsid w:val="00672A2D"/>
    <w:rsid w:val="00681689"/>
    <w:rsid w:val="006A3BE1"/>
    <w:rsid w:val="006B07D0"/>
    <w:rsid w:val="006B20BE"/>
    <w:rsid w:val="006B6B68"/>
    <w:rsid w:val="006C4567"/>
    <w:rsid w:val="006C65DD"/>
    <w:rsid w:val="006D46BA"/>
    <w:rsid w:val="006D5842"/>
    <w:rsid w:val="006D719D"/>
    <w:rsid w:val="006E5D7C"/>
    <w:rsid w:val="006F10C4"/>
    <w:rsid w:val="006F4F9E"/>
    <w:rsid w:val="006F5E02"/>
    <w:rsid w:val="00701B13"/>
    <w:rsid w:val="00701E7D"/>
    <w:rsid w:val="00707B47"/>
    <w:rsid w:val="007136BE"/>
    <w:rsid w:val="00715205"/>
    <w:rsid w:val="00717A18"/>
    <w:rsid w:val="0072381D"/>
    <w:rsid w:val="00724750"/>
    <w:rsid w:val="00740D0D"/>
    <w:rsid w:val="00751868"/>
    <w:rsid w:val="00762606"/>
    <w:rsid w:val="00765085"/>
    <w:rsid w:val="00765774"/>
    <w:rsid w:val="007777CA"/>
    <w:rsid w:val="007801EA"/>
    <w:rsid w:val="007852F3"/>
    <w:rsid w:val="00791A81"/>
    <w:rsid w:val="007961CF"/>
    <w:rsid w:val="00796CF4"/>
    <w:rsid w:val="007A5AF7"/>
    <w:rsid w:val="007B2D16"/>
    <w:rsid w:val="007B6EC2"/>
    <w:rsid w:val="007C1056"/>
    <w:rsid w:val="007C1C66"/>
    <w:rsid w:val="007C2903"/>
    <w:rsid w:val="007D0F2F"/>
    <w:rsid w:val="007D6097"/>
    <w:rsid w:val="007E4AB2"/>
    <w:rsid w:val="007E5D8A"/>
    <w:rsid w:val="007E7355"/>
    <w:rsid w:val="007F1D75"/>
    <w:rsid w:val="008001D0"/>
    <w:rsid w:val="00803146"/>
    <w:rsid w:val="00803C6D"/>
    <w:rsid w:val="00810E7B"/>
    <w:rsid w:val="00815E9B"/>
    <w:rsid w:val="00821599"/>
    <w:rsid w:val="00822438"/>
    <w:rsid w:val="0083436E"/>
    <w:rsid w:val="008414E7"/>
    <w:rsid w:val="0084260A"/>
    <w:rsid w:val="008444D5"/>
    <w:rsid w:val="008461AF"/>
    <w:rsid w:val="00846220"/>
    <w:rsid w:val="00850098"/>
    <w:rsid w:val="00852044"/>
    <w:rsid w:val="00853731"/>
    <w:rsid w:val="00854319"/>
    <w:rsid w:val="00854645"/>
    <w:rsid w:val="00860055"/>
    <w:rsid w:val="00860DCE"/>
    <w:rsid w:val="00864524"/>
    <w:rsid w:val="00867557"/>
    <w:rsid w:val="0087419F"/>
    <w:rsid w:val="0087546A"/>
    <w:rsid w:val="008801FC"/>
    <w:rsid w:val="00880839"/>
    <w:rsid w:val="008808FF"/>
    <w:rsid w:val="00885024"/>
    <w:rsid w:val="00886771"/>
    <w:rsid w:val="008905B6"/>
    <w:rsid w:val="0089337F"/>
    <w:rsid w:val="00894A48"/>
    <w:rsid w:val="00895F0A"/>
    <w:rsid w:val="008A4636"/>
    <w:rsid w:val="008C1714"/>
    <w:rsid w:val="008C2833"/>
    <w:rsid w:val="008C3CCD"/>
    <w:rsid w:val="008C6500"/>
    <w:rsid w:val="008D1140"/>
    <w:rsid w:val="008D1234"/>
    <w:rsid w:val="008D1A9F"/>
    <w:rsid w:val="008D2F3F"/>
    <w:rsid w:val="008D62DA"/>
    <w:rsid w:val="008E1B04"/>
    <w:rsid w:val="00900AEF"/>
    <w:rsid w:val="00906F7E"/>
    <w:rsid w:val="00907B1C"/>
    <w:rsid w:val="00911385"/>
    <w:rsid w:val="00912907"/>
    <w:rsid w:val="00913683"/>
    <w:rsid w:val="00927959"/>
    <w:rsid w:val="0094257C"/>
    <w:rsid w:val="0094686C"/>
    <w:rsid w:val="00946B08"/>
    <w:rsid w:val="0095215E"/>
    <w:rsid w:val="0095368E"/>
    <w:rsid w:val="00960620"/>
    <w:rsid w:val="00963CBA"/>
    <w:rsid w:val="00964CDB"/>
    <w:rsid w:val="009653F8"/>
    <w:rsid w:val="009738F0"/>
    <w:rsid w:val="009741F5"/>
    <w:rsid w:val="0097428F"/>
    <w:rsid w:val="009746AB"/>
    <w:rsid w:val="00980C9D"/>
    <w:rsid w:val="00982F69"/>
    <w:rsid w:val="00985C19"/>
    <w:rsid w:val="009937FF"/>
    <w:rsid w:val="0099403F"/>
    <w:rsid w:val="009965FD"/>
    <w:rsid w:val="009A605A"/>
    <w:rsid w:val="009B2C5A"/>
    <w:rsid w:val="009B6BF7"/>
    <w:rsid w:val="009B76CE"/>
    <w:rsid w:val="009C5218"/>
    <w:rsid w:val="009C5D34"/>
    <w:rsid w:val="009C6B77"/>
    <w:rsid w:val="009D3993"/>
    <w:rsid w:val="009E49C1"/>
    <w:rsid w:val="009E5042"/>
    <w:rsid w:val="009F4B2A"/>
    <w:rsid w:val="00A034D3"/>
    <w:rsid w:val="00A07176"/>
    <w:rsid w:val="00A07D2B"/>
    <w:rsid w:val="00A20850"/>
    <w:rsid w:val="00A221D8"/>
    <w:rsid w:val="00A2626E"/>
    <w:rsid w:val="00A3145F"/>
    <w:rsid w:val="00A323F6"/>
    <w:rsid w:val="00A32CA9"/>
    <w:rsid w:val="00A367F5"/>
    <w:rsid w:val="00A43BA5"/>
    <w:rsid w:val="00A44FD0"/>
    <w:rsid w:val="00A53678"/>
    <w:rsid w:val="00A5540E"/>
    <w:rsid w:val="00A55B88"/>
    <w:rsid w:val="00A621F7"/>
    <w:rsid w:val="00A65B95"/>
    <w:rsid w:val="00A7081D"/>
    <w:rsid w:val="00A727E6"/>
    <w:rsid w:val="00A83E60"/>
    <w:rsid w:val="00A84AE1"/>
    <w:rsid w:val="00A96ABB"/>
    <w:rsid w:val="00A97ADE"/>
    <w:rsid w:val="00AA0C0C"/>
    <w:rsid w:val="00AA6C2A"/>
    <w:rsid w:val="00AC0410"/>
    <w:rsid w:val="00AC1ADE"/>
    <w:rsid w:val="00AD543E"/>
    <w:rsid w:val="00AE20D3"/>
    <w:rsid w:val="00AE3A26"/>
    <w:rsid w:val="00AE7755"/>
    <w:rsid w:val="00AF3EB0"/>
    <w:rsid w:val="00AF4A49"/>
    <w:rsid w:val="00AF665A"/>
    <w:rsid w:val="00B049A2"/>
    <w:rsid w:val="00B1237D"/>
    <w:rsid w:val="00B16F7F"/>
    <w:rsid w:val="00B205B8"/>
    <w:rsid w:val="00B255A5"/>
    <w:rsid w:val="00B25C8D"/>
    <w:rsid w:val="00B27DDC"/>
    <w:rsid w:val="00B3361E"/>
    <w:rsid w:val="00B5467F"/>
    <w:rsid w:val="00B752E9"/>
    <w:rsid w:val="00B82D50"/>
    <w:rsid w:val="00B95089"/>
    <w:rsid w:val="00BA29C9"/>
    <w:rsid w:val="00BA34EA"/>
    <w:rsid w:val="00BA6549"/>
    <w:rsid w:val="00BB2328"/>
    <w:rsid w:val="00BB43B9"/>
    <w:rsid w:val="00BB5E89"/>
    <w:rsid w:val="00BD49DC"/>
    <w:rsid w:val="00BD49E9"/>
    <w:rsid w:val="00BE7E13"/>
    <w:rsid w:val="00BF259D"/>
    <w:rsid w:val="00C0473D"/>
    <w:rsid w:val="00C04E32"/>
    <w:rsid w:val="00C05245"/>
    <w:rsid w:val="00C138C1"/>
    <w:rsid w:val="00C13B7B"/>
    <w:rsid w:val="00C16CD5"/>
    <w:rsid w:val="00C22384"/>
    <w:rsid w:val="00C2241E"/>
    <w:rsid w:val="00C243DC"/>
    <w:rsid w:val="00C41245"/>
    <w:rsid w:val="00C5097A"/>
    <w:rsid w:val="00C52F63"/>
    <w:rsid w:val="00C53C5E"/>
    <w:rsid w:val="00C55E05"/>
    <w:rsid w:val="00C61CA3"/>
    <w:rsid w:val="00C63333"/>
    <w:rsid w:val="00C668F0"/>
    <w:rsid w:val="00C7120C"/>
    <w:rsid w:val="00C730FB"/>
    <w:rsid w:val="00C76CFC"/>
    <w:rsid w:val="00C859EA"/>
    <w:rsid w:val="00C85AF6"/>
    <w:rsid w:val="00C906F1"/>
    <w:rsid w:val="00C912CD"/>
    <w:rsid w:val="00CA19F3"/>
    <w:rsid w:val="00CB5661"/>
    <w:rsid w:val="00CC3D59"/>
    <w:rsid w:val="00CC6522"/>
    <w:rsid w:val="00CC7B99"/>
    <w:rsid w:val="00CE1FE9"/>
    <w:rsid w:val="00CF0340"/>
    <w:rsid w:val="00CF0D79"/>
    <w:rsid w:val="00CF1D62"/>
    <w:rsid w:val="00D034D8"/>
    <w:rsid w:val="00D05426"/>
    <w:rsid w:val="00D10F09"/>
    <w:rsid w:val="00D16C6B"/>
    <w:rsid w:val="00D200EA"/>
    <w:rsid w:val="00D21EBE"/>
    <w:rsid w:val="00D2484C"/>
    <w:rsid w:val="00D30E51"/>
    <w:rsid w:val="00D35B25"/>
    <w:rsid w:val="00D4123B"/>
    <w:rsid w:val="00D412E6"/>
    <w:rsid w:val="00D5156D"/>
    <w:rsid w:val="00D5188D"/>
    <w:rsid w:val="00D57C45"/>
    <w:rsid w:val="00D6173F"/>
    <w:rsid w:val="00D734BA"/>
    <w:rsid w:val="00D76371"/>
    <w:rsid w:val="00D83D66"/>
    <w:rsid w:val="00D8460E"/>
    <w:rsid w:val="00DA15A1"/>
    <w:rsid w:val="00DB104F"/>
    <w:rsid w:val="00DB20EE"/>
    <w:rsid w:val="00DB28BB"/>
    <w:rsid w:val="00DB5957"/>
    <w:rsid w:val="00DB5F5B"/>
    <w:rsid w:val="00DB6B31"/>
    <w:rsid w:val="00DC051D"/>
    <w:rsid w:val="00DC621E"/>
    <w:rsid w:val="00DD1869"/>
    <w:rsid w:val="00DD5830"/>
    <w:rsid w:val="00DE1759"/>
    <w:rsid w:val="00DE4E43"/>
    <w:rsid w:val="00DE5845"/>
    <w:rsid w:val="00DF03BC"/>
    <w:rsid w:val="00DF18FD"/>
    <w:rsid w:val="00DF30A9"/>
    <w:rsid w:val="00DF7231"/>
    <w:rsid w:val="00E05EBE"/>
    <w:rsid w:val="00E06E7C"/>
    <w:rsid w:val="00E1085E"/>
    <w:rsid w:val="00E12201"/>
    <w:rsid w:val="00E157DD"/>
    <w:rsid w:val="00E21AEB"/>
    <w:rsid w:val="00E2626D"/>
    <w:rsid w:val="00E31560"/>
    <w:rsid w:val="00E43EB5"/>
    <w:rsid w:val="00E444EB"/>
    <w:rsid w:val="00E50B3B"/>
    <w:rsid w:val="00E5116F"/>
    <w:rsid w:val="00E53388"/>
    <w:rsid w:val="00E60B11"/>
    <w:rsid w:val="00E61490"/>
    <w:rsid w:val="00E64B23"/>
    <w:rsid w:val="00E64EDE"/>
    <w:rsid w:val="00E6588F"/>
    <w:rsid w:val="00E6726D"/>
    <w:rsid w:val="00E73EFF"/>
    <w:rsid w:val="00E770B3"/>
    <w:rsid w:val="00E77480"/>
    <w:rsid w:val="00E81109"/>
    <w:rsid w:val="00E817AA"/>
    <w:rsid w:val="00E823EF"/>
    <w:rsid w:val="00E87CB8"/>
    <w:rsid w:val="00E95639"/>
    <w:rsid w:val="00EA0621"/>
    <w:rsid w:val="00EC0055"/>
    <w:rsid w:val="00EC4A9A"/>
    <w:rsid w:val="00EC772C"/>
    <w:rsid w:val="00ED605D"/>
    <w:rsid w:val="00EE2557"/>
    <w:rsid w:val="00EE2BB0"/>
    <w:rsid w:val="00EE64C3"/>
    <w:rsid w:val="00EF4FF3"/>
    <w:rsid w:val="00EF7222"/>
    <w:rsid w:val="00EF7805"/>
    <w:rsid w:val="00F04A46"/>
    <w:rsid w:val="00F217A4"/>
    <w:rsid w:val="00F22D82"/>
    <w:rsid w:val="00F25A6F"/>
    <w:rsid w:val="00F31CB4"/>
    <w:rsid w:val="00F32339"/>
    <w:rsid w:val="00F4111B"/>
    <w:rsid w:val="00F420AD"/>
    <w:rsid w:val="00F42B7E"/>
    <w:rsid w:val="00F439C8"/>
    <w:rsid w:val="00F45177"/>
    <w:rsid w:val="00F51218"/>
    <w:rsid w:val="00F55ABC"/>
    <w:rsid w:val="00F67476"/>
    <w:rsid w:val="00F72EFC"/>
    <w:rsid w:val="00F75611"/>
    <w:rsid w:val="00F774DB"/>
    <w:rsid w:val="00F7795A"/>
    <w:rsid w:val="00F80349"/>
    <w:rsid w:val="00F815B8"/>
    <w:rsid w:val="00F83176"/>
    <w:rsid w:val="00F8581B"/>
    <w:rsid w:val="00FC1B32"/>
    <w:rsid w:val="00FC5A2A"/>
    <w:rsid w:val="00FC73E2"/>
    <w:rsid w:val="00FD0778"/>
    <w:rsid w:val="00FD08CD"/>
    <w:rsid w:val="00FD33ED"/>
    <w:rsid w:val="00FD6DF0"/>
    <w:rsid w:val="00FE041F"/>
    <w:rsid w:val="00FE2861"/>
    <w:rsid w:val="00FE79CC"/>
    <w:rsid w:val="00FE7C71"/>
    <w:rsid w:val="00FF1217"/>
    <w:rsid w:val="00FF6097"/>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92F7DD"/>
  <w15:chartTrackingRefBased/>
  <w15:docId w15:val="{12B79082-F5CB-6B4F-B307-9239B40FC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79C"/>
  </w:style>
  <w:style w:type="paragraph" w:styleId="Heading1">
    <w:name w:val="heading 1"/>
    <w:basedOn w:val="Normal"/>
    <w:next w:val="Normal"/>
    <w:link w:val="Heading1Char"/>
    <w:uiPriority w:val="9"/>
    <w:qFormat/>
    <w:rsid w:val="00765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7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7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7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7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7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7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7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7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7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7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7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7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774"/>
    <w:rPr>
      <w:rFonts w:eastAsiaTheme="majorEastAsia" w:cstheme="majorBidi"/>
      <w:color w:val="272727" w:themeColor="text1" w:themeTint="D8"/>
    </w:rPr>
  </w:style>
  <w:style w:type="paragraph" w:styleId="Title">
    <w:name w:val="Title"/>
    <w:basedOn w:val="Normal"/>
    <w:next w:val="Normal"/>
    <w:link w:val="TitleChar"/>
    <w:uiPriority w:val="10"/>
    <w:qFormat/>
    <w:rsid w:val="007657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7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7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5774"/>
    <w:rPr>
      <w:i/>
      <w:iCs/>
      <w:color w:val="404040" w:themeColor="text1" w:themeTint="BF"/>
    </w:rPr>
  </w:style>
  <w:style w:type="paragraph" w:styleId="ListParagraph">
    <w:name w:val="List Paragraph"/>
    <w:basedOn w:val="Normal"/>
    <w:uiPriority w:val="34"/>
    <w:qFormat/>
    <w:rsid w:val="00765774"/>
    <w:pPr>
      <w:ind w:left="720"/>
      <w:contextualSpacing/>
    </w:pPr>
  </w:style>
  <w:style w:type="character" w:styleId="IntenseEmphasis">
    <w:name w:val="Intense Emphasis"/>
    <w:basedOn w:val="DefaultParagraphFont"/>
    <w:uiPriority w:val="21"/>
    <w:qFormat/>
    <w:rsid w:val="00765774"/>
    <w:rPr>
      <w:i/>
      <w:iCs/>
      <w:color w:val="0F4761" w:themeColor="accent1" w:themeShade="BF"/>
    </w:rPr>
  </w:style>
  <w:style w:type="paragraph" w:styleId="IntenseQuote">
    <w:name w:val="Intense Quote"/>
    <w:basedOn w:val="Normal"/>
    <w:next w:val="Normal"/>
    <w:link w:val="IntenseQuoteChar"/>
    <w:uiPriority w:val="30"/>
    <w:qFormat/>
    <w:rsid w:val="00765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774"/>
    <w:rPr>
      <w:i/>
      <w:iCs/>
      <w:color w:val="0F4761" w:themeColor="accent1" w:themeShade="BF"/>
    </w:rPr>
  </w:style>
  <w:style w:type="character" w:styleId="IntenseReference">
    <w:name w:val="Intense Reference"/>
    <w:basedOn w:val="DefaultParagraphFont"/>
    <w:uiPriority w:val="32"/>
    <w:qFormat/>
    <w:rsid w:val="00765774"/>
    <w:rPr>
      <w:b/>
      <w:bCs/>
      <w:smallCaps/>
      <w:color w:val="0F4761" w:themeColor="accent1" w:themeShade="BF"/>
      <w:spacing w:val="5"/>
    </w:rPr>
  </w:style>
  <w:style w:type="paragraph" w:styleId="NormalWeb">
    <w:name w:val="Normal (Web)"/>
    <w:basedOn w:val="Normal"/>
    <w:uiPriority w:val="99"/>
    <w:unhideWhenUsed/>
    <w:rsid w:val="00765774"/>
    <w:pPr>
      <w:spacing w:before="100" w:beforeAutospacing="1" w:after="100" w:afterAutospacing="1"/>
    </w:pPr>
    <w:rPr>
      <w:rFonts w:ascii="Times New Roman" w:eastAsia="Times New Roman" w:hAnsi="Times New Roman" w:cs="Times New Roman"/>
      <w:kern w:val="0"/>
      <w:lang w:eastAsia="it-IT"/>
      <w14:ligatures w14:val="none"/>
    </w:rPr>
  </w:style>
  <w:style w:type="character" w:styleId="Strong">
    <w:name w:val="Strong"/>
    <w:basedOn w:val="DefaultParagraphFont"/>
    <w:uiPriority w:val="22"/>
    <w:qFormat/>
    <w:rsid w:val="00765774"/>
    <w:rPr>
      <w:b/>
      <w:bCs/>
    </w:rPr>
  </w:style>
  <w:style w:type="character" w:customStyle="1" w:styleId="apple-converted-space">
    <w:name w:val="apple-converted-space"/>
    <w:basedOn w:val="DefaultParagraphFont"/>
    <w:rsid w:val="00765774"/>
  </w:style>
  <w:style w:type="character" w:styleId="HTMLCode">
    <w:name w:val="HTML Code"/>
    <w:basedOn w:val="DefaultParagraphFont"/>
    <w:uiPriority w:val="99"/>
    <w:semiHidden/>
    <w:unhideWhenUsed/>
    <w:rsid w:val="00765774"/>
    <w:rPr>
      <w:rFonts w:ascii="Courier New" w:eastAsia="Times New Roman" w:hAnsi="Courier New" w:cs="Courier New"/>
      <w:sz w:val="20"/>
      <w:szCs w:val="20"/>
    </w:rPr>
  </w:style>
  <w:style w:type="character" w:styleId="Emphasis">
    <w:name w:val="Emphasis"/>
    <w:basedOn w:val="DefaultParagraphFont"/>
    <w:uiPriority w:val="20"/>
    <w:qFormat/>
    <w:rsid w:val="00765774"/>
    <w:rPr>
      <w:i/>
      <w:iCs/>
    </w:rPr>
  </w:style>
  <w:style w:type="character" w:styleId="Hyperlink">
    <w:name w:val="Hyperlink"/>
    <w:basedOn w:val="DefaultParagraphFont"/>
    <w:uiPriority w:val="99"/>
    <w:unhideWhenUsed/>
    <w:rsid w:val="008E1B04"/>
    <w:rPr>
      <w:color w:val="467886" w:themeColor="hyperlink"/>
      <w:u w:val="single"/>
    </w:rPr>
  </w:style>
  <w:style w:type="character" w:styleId="UnresolvedMention">
    <w:name w:val="Unresolved Mention"/>
    <w:basedOn w:val="DefaultParagraphFont"/>
    <w:uiPriority w:val="99"/>
    <w:semiHidden/>
    <w:unhideWhenUsed/>
    <w:rsid w:val="008E1B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yperlink" Target="https://doi.org/10.1038/nrg2918" TargetMode="External"/><Relationship Id="rId8" Type="http://schemas.openxmlformats.org/officeDocument/2006/relationships/hyperlink" Target="https://doi.org/10.1126/science.aaf9794" TargetMode="External"/><Relationship Id="rId9" Type="http://schemas.openxmlformats.org/officeDocument/2006/relationships/hyperlink" Target="https://doi.org/10.2337/dci24-0003" TargetMode="External"/><Relationship Id="rId10" Type="http://schemas.openxmlformats.org/officeDocument/2006/relationships/hyperlink" Target="https://doi.org/10.1002/oby.21199" TargetMode="External"/><Relationship Id="rId11" Type="http://schemas.openxmlformats.org/officeDocument/2006/relationships/hyperlink" Target="https://doi.org/10.1210/jc.2007-2851" TargetMode="External"/><Relationship Id="rId12" Type="http://schemas.openxmlformats.org/officeDocument/2006/relationships/hyperlink" Target="https://doi.org/10.1093/bioinformatics/btad080" TargetMode="External"/><Relationship Id="rId13" Type="http://schemas.openxmlformats.org/officeDocument/2006/relationships/hyperlink" Target="https://doi.org/10.1038/ijo.2015.115" TargetMode="External"/><Relationship Id="rId14" Type="http://schemas.openxmlformats.org/officeDocument/2006/relationships/hyperlink" Target="https://doi.org/10.1007/s00726-015-1993-2" TargetMode="External"/><Relationship Id="rId15" Type="http://schemas.openxmlformats.org/officeDocument/2006/relationships/hyperlink" Target="https://doi.org/10.1016/j.cmet.2013.12.003" TargetMode="External"/><Relationship Id="rId16" Type="http://schemas.openxmlformats.org/officeDocument/2006/relationships/hyperlink" Target="https://doi.org/10.1056/NEJMra2500106"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1576</Words>
  <Characters>8987</Characters>
  <Application>Microsoft Office Word</Application>
  <DocSecurity>0</DocSecurity>
  <Lines>74</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Gianmarco Bellucci</dc:creator>
  <cp:keywords/>
  <dc:description/>
  <cp:lastModifiedBy>Gu, Wanjun</cp:lastModifiedBy>
  <cp:revision>19</cp:revision>
  <dcterms:created xsi:type="dcterms:W3CDTF">2026-04-15T21:54:00Z</dcterms:created>
  <dcterms:modified xsi:type="dcterms:W3CDTF">2026-04-20T05:00:00Z</dcterms:modified>
</cp:coreProperties>
</file>