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7DE0"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Dear Dr. Capra,</w:t>
      </w:r>
    </w:p>
    <w:p w14:paraId="1644FF13"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6FFA49C0"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Thank you for sending your manuscript titled "Evaluating the Contribution of Genome 3D Folding to Variation in Human Height Using Machine Learning" (AJHG-D-25-00812) to AJHG, The American Journal of Human Genetics.  We have received the reports of the reviewers and we enclose the comments they have provided for transmission to the authors.  After careful consideration, we have decided that your paper is not a good fit for AJHG  The American Journal of Human Genetics.  </w:t>
      </w:r>
    </w:p>
    <w:p w14:paraId="6FEC4063"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556EF68C"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It is important to stress that, because of the limited number of articles that AJHG  The American Journal of Human Genetics can publish, many of the papers sent out for evaluation are ultimately not accepted.  The decision not to accept a paper that undergoes detailed review is based not only on the specific technical limitations detailed in the comments to the authors, but also on the overall priority awarded the submission based on novelty and scope, a recommendation that is communicated directly to us.  For this reason, a revised paper addressing only the technical concerns of the referees is not likely to change the decision against acceptance, and we believe it is best for the paper to be submitted elsewhere.  We nevertheless hope that you will not hesitate to submit future manuscripts to AJHG  The American Journal of Human Genetics.</w:t>
      </w:r>
    </w:p>
    <w:p w14:paraId="1CF537F2"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067005A6"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Sincerely,</w:t>
      </w:r>
    </w:p>
    <w:p w14:paraId="129576C4"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Paul</w:t>
      </w:r>
    </w:p>
    <w:p w14:paraId="0AF9FF4B"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33C39BAA"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Alyson Barnes, PhD</w:t>
      </w:r>
    </w:p>
    <w:p w14:paraId="7237A42B"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Assistant Editor, AJHG</w:t>
      </w:r>
    </w:p>
    <w:p w14:paraId="5BA1F689"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6F7BDBC7"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Paul W Hook, Ph.D.</w:t>
      </w:r>
    </w:p>
    <w:p w14:paraId="7DAB64B7"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Assistant Editor, AJHG</w:t>
      </w:r>
    </w:p>
    <w:p w14:paraId="3343B140"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46F3A5F6"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Sara Cullinan, PhD</w:t>
      </w:r>
    </w:p>
    <w:p w14:paraId="0C32B3AC"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Deputy Editor, AJHG</w:t>
      </w:r>
    </w:p>
    <w:p w14:paraId="10239724"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406A08C2"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Bruce Korf, MD PhD</w:t>
      </w:r>
    </w:p>
    <w:p w14:paraId="3EDEDBA9"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Editor, AJHG</w:t>
      </w:r>
    </w:p>
    <w:p w14:paraId="069DAC6D"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69EC96C1"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Kiran Musunuru, MD PhD</w:t>
      </w:r>
    </w:p>
    <w:p w14:paraId="34605D0E"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Editor, AJHG (2026)</w:t>
      </w:r>
    </w:p>
    <w:p w14:paraId="6FDEADFC" w14:textId="77777777" w:rsidR="002670AC" w:rsidRPr="002670AC" w:rsidRDefault="002670AC" w:rsidP="002670AC">
      <w:pPr>
        <w:spacing w:after="240" w:line="240" w:lineRule="auto"/>
        <w:rPr>
          <w:rFonts w:ascii="Times New Roman" w:eastAsia="Times New Roman" w:hAnsi="Times New Roman" w:cs="Times New Roman"/>
          <w:kern w:val="0"/>
          <w14:ligatures w14:val="none"/>
        </w:rPr>
      </w:pPr>
      <w:r w:rsidRPr="002670AC">
        <w:rPr>
          <w:rFonts w:ascii="Times New Roman" w:eastAsia="Times New Roman" w:hAnsi="Times New Roman" w:cs="Times New Roman"/>
          <w:kern w:val="0"/>
          <w14:ligatures w14:val="none"/>
        </w:rPr>
        <w:br/>
      </w:r>
      <w:r w:rsidRPr="002670AC">
        <w:rPr>
          <w:rFonts w:ascii="Times New Roman" w:eastAsia="Times New Roman" w:hAnsi="Times New Roman" w:cs="Times New Roman"/>
          <w:kern w:val="0"/>
          <w14:ligatures w14:val="none"/>
        </w:rPr>
        <w:br/>
      </w:r>
    </w:p>
    <w:p w14:paraId="4CC59CD3"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 xml:space="preserve">Reviewer #1: This manuscript by Gu et al. evaluates the contribution of disruptions in 3D genome folding to human height using Akita, a previously developed deep learning model based on convolutional neural networks that predicts Hi-C-like contact maps directly from DNA sequence. The authors applied this approach to ~ 10,000 genomic loci associated with human height, leveraging summary statistics from the most recent </w:t>
      </w:r>
      <w:r w:rsidRPr="002670AC">
        <w:rPr>
          <w:rFonts w:ascii="Arial" w:eastAsia="Times New Roman" w:hAnsi="Arial" w:cs="Arial"/>
          <w:color w:val="242424"/>
          <w:kern w:val="0"/>
          <w:shd w:val="clear" w:color="auto" w:fill="FFFFFF"/>
          <w14:ligatures w14:val="none"/>
        </w:rPr>
        <w:lastRenderedPageBreak/>
        <w:t>GIANT GWAS. They examined both haplotypes and individual variants for potential effects on 3D genome organization. Only a small fraction of loci (17 regions, 0.17%) showed significant effects, with the strongest hit being a T&gt;C variant that disrupts a CTCF binding site in the promoter of LCOR.</w:t>
      </w:r>
    </w:p>
    <w:p w14:paraId="541E234B"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The manuscript is well written and technically sound. The use of Akita demonstrates the value of machine learning tools in exploring the impact of noncoding variation on 3D genome architecture—an area that remains experimentally challenging due to cost and scale.</w:t>
      </w:r>
    </w:p>
    <w:p w14:paraId="233CC984"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Another strength is the authors' effort to disentangle the effects of haplotypes versus single variants, revealing that while most effects are driven by individual SNPs, some arise from the combined action of multiple variants.</w:t>
      </w:r>
    </w:p>
    <w:p w14:paraId="6E0B9B8D"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However, my enthusiasm is tempered by the limited impact of the question addressed. Focusing on common variation associated with a highly polygenic and subtle trait such as height—combined with Akita's inherent limitations—results in a very small number of significant findings. Moreover, the reported loci are not explored in sufficient mechanistic depth: there is little characterization of the types of 3D disruptions observed or of the potential functional consequences at target genes.</w:t>
      </w:r>
    </w:p>
    <w:p w14:paraId="4E5B5ED1"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225155AA"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Major Comments</w:t>
      </w:r>
    </w:p>
    <w:p w14:paraId="25501727"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1. Limitations of the Method</w:t>
      </w:r>
    </w:p>
    <w:p w14:paraId="0C94F615"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The authors should discuss Akita's inherent limitations more explicitly. Because of its resolution and the window size used during training, Akita primarily detects disruptions in "stable" 3D architectural features such as CTCF binding sites and TAD boundaries. It is not well suited to identify finer-scale, cell-type-specific promoter-enhancer interactions, which are often the key mediators of common variant effects observed in GWAS. Other models (e.g., Enformer, GraphReg, ABC) incorporate such context and might be more relevant for interpreting common variation.</w:t>
      </w:r>
    </w:p>
    <w:p w14:paraId="49B13EF9"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2. Choice of Trait</w:t>
      </w:r>
    </w:p>
    <w:p w14:paraId="2FC9AAE7"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The rationale for choosing height as the target trait is unclear. Height is an extremely polygenic phenotype, and 3D genome disruptions typically lead to larger, more penetrant effects. Given Akita's focus on major architectural features, it may have been more informative to apply this approach to traits or disorders driven by more severe regulatory perturbations (e.g., developmental disorders).</w:t>
      </w:r>
    </w:p>
    <w:p w14:paraId="66AE2E97"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3. LDSC Regression Analysis</w:t>
      </w:r>
    </w:p>
    <w:p w14:paraId="433E4C6B"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The LDSC regression assessing enrichment of height-associated loci in Akita-predicted disruptive regions yielded a negative result. It would strengthen the manuscript to perform similar analyses for other complex traits, to determine whether the lack of enrichment is specific to height or reflects a broader limitation of the method.</w:t>
      </w:r>
    </w:p>
    <w:p w14:paraId="48067E7C"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4. Mechanistic Follow-up of Hits</w:t>
      </w:r>
    </w:p>
    <w:p w14:paraId="3C2F3E2D"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Given that only 17 regions were identified, the authors should provide a deeper analysis of these loci. Specifically:</w:t>
      </w:r>
    </w:p>
    <w:p w14:paraId="7B712A19"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 Are the observed effects uniformly attributable to CTCF disruption, or do other mechanisms contribute?</w:t>
      </w:r>
    </w:p>
    <w:p w14:paraId="3F68F48C"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 Can the altered Hi-C-like maps be examined in greater detail (beyond global divergence) to illustrate the specific architectural changes (e.g., enhancer/promoter loop loss, domain fusion)?</w:t>
      </w:r>
    </w:p>
    <w:p w14:paraId="387A7541"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lastRenderedPageBreak/>
        <w:t>- Even qualitative visualization of these disruptions would enhance the biological interpretability of the findings.</w:t>
      </w:r>
    </w:p>
    <w:p w14:paraId="4CF102A6"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54FF7172"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Minor Comments</w:t>
      </w:r>
    </w:p>
    <w:p w14:paraId="66B005C4"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1. Line 152: The authors mention using HFF cells. Since Akita was trained across five cell types, why was a single-cell-type model used here? Would multi-cell-type training improve performance, or was it computationally infeasible?</w:t>
      </w:r>
    </w:p>
    <w:p w14:paraId="09DA2ADD"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2. Line 183: "The SNP contribution to 3D-genome disturbance was quantified based on the ratio between the disturbance of the SNP and the maximum disturbance introduced by a naturally occurring haplotype." Explain better: is this the ratio between the synthetic sequence with the SNP allele changed and the original haplotype where it came from? If there were multiple haplotypes containing the SNP, was the SNP mutagenized in all of them and all the corresponding artificial sequences assessed?</w:t>
      </w:r>
    </w:p>
    <w:p w14:paraId="11AB2107" w14:textId="77777777" w:rsidR="002670AC" w:rsidRPr="002670AC" w:rsidRDefault="002670AC" w:rsidP="002670AC">
      <w:pPr>
        <w:spacing w:after="240" w:line="240" w:lineRule="auto"/>
        <w:rPr>
          <w:rFonts w:ascii="Times New Roman" w:eastAsia="Times New Roman" w:hAnsi="Times New Roman" w:cs="Times New Roman"/>
          <w:kern w:val="0"/>
          <w14:ligatures w14:val="none"/>
        </w:rPr>
      </w:pPr>
      <w:r w:rsidRPr="002670AC">
        <w:rPr>
          <w:rFonts w:ascii="Times New Roman" w:eastAsia="Times New Roman" w:hAnsi="Times New Roman" w:cs="Times New Roman"/>
          <w:kern w:val="0"/>
          <w14:ligatures w14:val="none"/>
        </w:rPr>
        <w:br/>
      </w:r>
      <w:r w:rsidRPr="002670AC">
        <w:rPr>
          <w:rFonts w:ascii="Times New Roman" w:eastAsia="Times New Roman" w:hAnsi="Times New Roman" w:cs="Times New Roman"/>
          <w:kern w:val="0"/>
          <w14:ligatures w14:val="none"/>
        </w:rPr>
        <w:br/>
      </w:r>
      <w:r w:rsidRPr="002670AC">
        <w:rPr>
          <w:rFonts w:ascii="Times New Roman" w:eastAsia="Times New Roman" w:hAnsi="Times New Roman" w:cs="Times New Roman"/>
          <w:kern w:val="0"/>
          <w14:ligatures w14:val="none"/>
        </w:rPr>
        <w:br/>
      </w:r>
      <w:r w:rsidRPr="002670AC">
        <w:rPr>
          <w:rFonts w:ascii="Times New Roman" w:eastAsia="Times New Roman" w:hAnsi="Times New Roman" w:cs="Times New Roman"/>
          <w:kern w:val="0"/>
          <w14:ligatures w14:val="none"/>
        </w:rPr>
        <w:br/>
      </w:r>
    </w:p>
    <w:p w14:paraId="6D1EBA9E"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Reviewer #2: In this manuscript by Gu et al., the authors describe an approach to study the impact of 3d genome folding on trait variation. Here the authors combine an in silico model that predicts 3d genome folding from sequence with variation associated with height from the GIANT consortium. Overall, the results are inconclusive, and I am not exactly sure about how this manuscript contributes to our understanding of 3d genome folding and how disruptions in 3d genome architecture contributes to trait-associated variation. Furthermore, I have doubts about whether the computational model (Akita trained on human foreskin fibroblasts) is appropriate.</w:t>
      </w:r>
    </w:p>
    <w:p w14:paraId="4EEA3EA0"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0B716A4D"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1) It is unclear how the Akita model performance relates to the results and conclusions. The authors state that the model predicts the observed Hi-C/Micro-C data with a correlation of roughly Spearman's rho 0.6-0.7. I would assume that the variance explained (r2) is quite poor (not reported). The authors then predict the 3d genome with either single SNPs or likely haplotypes and compute a deviation score and use this as ground truth to prioritize loci. Given the baseline performance of the model, how reliable is the deviation score?</w:t>
      </w:r>
    </w:p>
    <w:p w14:paraId="1907CE36"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5B7EB6F8"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2) The author state that Akita model derived from human foreskin fibroblasts was used because of its large read depth and overall predictive performance. Was there consideration whether this cell type is relevant for human height (i.e., is trait heritability already enriched for SNPs in regulatory regions active in HFF). I would recommend performing LD-score regression in different cell types (with an annotation for chromatin accessibility peaks) to select the best cell type.</w:t>
      </w:r>
    </w:p>
    <w:p w14:paraId="273E41A1"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1A6888CB"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3) The log-divergence score is computed against the normal distribution. The authors state on lines 16-8: "We used quantile-quantile regression to determine loci whose 3D-genome divergence is significantly larger than expected." How was significance established and how many regions remains after FDR correction?</w:t>
      </w:r>
    </w:p>
    <w:p w14:paraId="37549C47"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43FC230A"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4) Figure 4 focuses on an example of how a height associated single-nucleotide polymorphism in a CTCF site is predicted to disrupt the 3d genome architecture. Hi-C data enriches for CTCF sites, and it is typically the top predictive motif for 3d folding. In this light, is this an unexpected finding? Are trait-associated polymorphisms predicted to affect 3d genome enriched in CTCF sites over the expected background? The authors should perform simulations (sampling matched SNPs) to show that these sites occur more often than random.</w:t>
      </w:r>
    </w:p>
    <w:p w14:paraId="3AD908E8"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333770B1"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__________________________________________________</w:t>
      </w:r>
    </w:p>
    <w:p w14:paraId="70EB09EB"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r w:rsidRPr="002670AC">
        <w:rPr>
          <w:rFonts w:ascii="Arial" w:eastAsia="Times New Roman" w:hAnsi="Arial" w:cs="Arial"/>
          <w:color w:val="242424"/>
          <w:kern w:val="0"/>
          <w:shd w:val="clear" w:color="auto" w:fill="FFFFFF"/>
          <w14:ligatures w14:val="none"/>
        </w:rPr>
        <w:t xml:space="preserve">In compliance with data protection regulations, you may request that we remove your personal registration details at any time.  (Use the following URL: </w:t>
      </w:r>
      <w:hyperlink r:id="rId4" w:history="1">
        <w:r w:rsidRPr="002670AC">
          <w:rPr>
            <w:rFonts w:ascii="Arial" w:eastAsia="Times New Roman" w:hAnsi="Arial" w:cs="Arial"/>
            <w:color w:val="0000FF"/>
            <w:kern w:val="0"/>
            <w:u w:val="single"/>
            <w:shd w:val="clear" w:color="auto" w:fill="FFFFFF"/>
            <w14:ligatures w14:val="none"/>
          </w:rPr>
          <w:t>https://www.editorialmanager.com/ajhg/login.asp?a=r</w:t>
        </w:r>
      </w:hyperlink>
      <w:r w:rsidRPr="002670AC">
        <w:rPr>
          <w:rFonts w:ascii="Arial" w:eastAsia="Times New Roman" w:hAnsi="Arial" w:cs="Arial"/>
          <w:color w:val="242424"/>
          <w:kern w:val="0"/>
          <w:shd w:val="clear" w:color="auto" w:fill="FFFFFF"/>
          <w14:ligatures w14:val="none"/>
        </w:rPr>
        <w:t>). Please contact the publication office if you have any questions.</w:t>
      </w:r>
    </w:p>
    <w:p w14:paraId="03E8717D" w14:textId="77777777" w:rsidR="002670AC" w:rsidRPr="002670AC" w:rsidRDefault="002670AC" w:rsidP="002670AC">
      <w:pPr>
        <w:spacing w:after="0" w:line="240" w:lineRule="auto"/>
        <w:rPr>
          <w:rFonts w:ascii="Times New Roman" w:eastAsia="Times New Roman" w:hAnsi="Times New Roman" w:cs="Times New Roman"/>
          <w:kern w:val="0"/>
          <w14:ligatures w14:val="none"/>
        </w:rPr>
      </w:pPr>
    </w:p>
    <w:p w14:paraId="2DA09E8C" w14:textId="77777777" w:rsidR="00BA7662" w:rsidRDefault="00BA7662">
      <w:pPr>
        <w:rPr>
          <w:rFonts w:hint="eastAsia"/>
        </w:rPr>
      </w:pPr>
    </w:p>
    <w:sectPr w:rsidR="00BA7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5BE"/>
    <w:rsid w:val="000C4FD9"/>
    <w:rsid w:val="002670AC"/>
    <w:rsid w:val="00314B32"/>
    <w:rsid w:val="00BA7662"/>
    <w:rsid w:val="00BB55BE"/>
    <w:rsid w:val="00CF03F2"/>
    <w:rsid w:val="00DF3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2B2662"/>
  <w15:chartTrackingRefBased/>
  <w15:docId w15:val="{B92ED61C-15ED-5F4C-B20F-232DEB9C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5BE"/>
    <w:rPr>
      <w:rFonts w:eastAsiaTheme="majorEastAsia" w:cstheme="majorBidi"/>
      <w:color w:val="272727" w:themeColor="text1" w:themeTint="D8"/>
    </w:rPr>
  </w:style>
  <w:style w:type="paragraph" w:styleId="Title">
    <w:name w:val="Title"/>
    <w:basedOn w:val="Normal"/>
    <w:next w:val="Normal"/>
    <w:link w:val="TitleChar"/>
    <w:uiPriority w:val="10"/>
    <w:qFormat/>
    <w:rsid w:val="00BB5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5BE"/>
    <w:pPr>
      <w:spacing w:before="160"/>
      <w:jc w:val="center"/>
    </w:pPr>
    <w:rPr>
      <w:i/>
      <w:iCs/>
      <w:color w:val="404040" w:themeColor="text1" w:themeTint="BF"/>
    </w:rPr>
  </w:style>
  <w:style w:type="character" w:customStyle="1" w:styleId="QuoteChar">
    <w:name w:val="Quote Char"/>
    <w:basedOn w:val="DefaultParagraphFont"/>
    <w:link w:val="Quote"/>
    <w:uiPriority w:val="29"/>
    <w:rsid w:val="00BB55BE"/>
    <w:rPr>
      <w:i/>
      <w:iCs/>
      <w:color w:val="404040" w:themeColor="text1" w:themeTint="BF"/>
    </w:rPr>
  </w:style>
  <w:style w:type="paragraph" w:styleId="ListParagraph">
    <w:name w:val="List Paragraph"/>
    <w:basedOn w:val="Normal"/>
    <w:uiPriority w:val="34"/>
    <w:qFormat/>
    <w:rsid w:val="00BB55BE"/>
    <w:pPr>
      <w:ind w:left="720"/>
      <w:contextualSpacing/>
    </w:pPr>
  </w:style>
  <w:style w:type="character" w:styleId="IntenseEmphasis">
    <w:name w:val="Intense Emphasis"/>
    <w:basedOn w:val="DefaultParagraphFont"/>
    <w:uiPriority w:val="21"/>
    <w:qFormat/>
    <w:rsid w:val="00BB55BE"/>
    <w:rPr>
      <w:i/>
      <w:iCs/>
      <w:color w:val="0F4761" w:themeColor="accent1" w:themeShade="BF"/>
    </w:rPr>
  </w:style>
  <w:style w:type="paragraph" w:styleId="IntenseQuote">
    <w:name w:val="Intense Quote"/>
    <w:basedOn w:val="Normal"/>
    <w:next w:val="Normal"/>
    <w:link w:val="IntenseQuoteChar"/>
    <w:uiPriority w:val="30"/>
    <w:qFormat/>
    <w:rsid w:val="00BB5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5BE"/>
    <w:rPr>
      <w:i/>
      <w:iCs/>
      <w:color w:val="0F4761" w:themeColor="accent1" w:themeShade="BF"/>
    </w:rPr>
  </w:style>
  <w:style w:type="character" w:styleId="IntenseReference">
    <w:name w:val="Intense Reference"/>
    <w:basedOn w:val="DefaultParagraphFont"/>
    <w:uiPriority w:val="32"/>
    <w:qFormat/>
    <w:rsid w:val="00BB55BE"/>
    <w:rPr>
      <w:b/>
      <w:bCs/>
      <w:smallCaps/>
      <w:color w:val="0F4761" w:themeColor="accent1" w:themeShade="BF"/>
      <w:spacing w:val="5"/>
    </w:rPr>
  </w:style>
  <w:style w:type="paragraph" w:styleId="NormalWeb">
    <w:name w:val="Normal (Web)"/>
    <w:basedOn w:val="Normal"/>
    <w:uiPriority w:val="99"/>
    <w:semiHidden/>
    <w:unhideWhenUsed/>
    <w:rsid w:val="002670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670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rldefense.com/v3/__https:/www.editorialmanager.com/ajhg/login.asp?a=r__;!!LQC6Cpwp!oYz3AFH6vS_VyzCrtp75z29TpvBmoLmJE2Wym4ogD7EGID5_bII6_6fF1b8byJ7aOaLWCn2otbMPdagyntn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1165</Words>
  <Characters>7856</Characters>
  <Application>Microsoft Office Word</Application>
  <DocSecurity>0</DocSecurity>
  <Lines>120</Lines>
  <Paragraphs>24</Paragraphs>
  <ScaleCrop>false</ScaleCrop>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Wanjun</dc:creator>
  <cp:keywords/>
  <dc:description/>
  <cp:lastModifiedBy>Gu, Wanjun</cp:lastModifiedBy>
  <cp:revision>2</cp:revision>
  <dcterms:created xsi:type="dcterms:W3CDTF">2026-03-04T22:50:00Z</dcterms:created>
  <dcterms:modified xsi:type="dcterms:W3CDTF">2026-03-04T22:50:00Z</dcterms:modified>
</cp:coreProperties>
</file>