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87843" w14:textId="77777777" w:rsidR="00076180" w:rsidRDefault="00076180" w:rsidP="00076180">
      <w:r>
        <w:t>CLINICIAN GRADING RUBRIC (CLINICAL CORRECTNESS + INTERPRETABILITY + DATA-GROUNDEDNESS)</w:t>
      </w:r>
    </w:p>
    <w:p w14:paraId="17AA6EC5" w14:textId="77777777" w:rsidR="00076180" w:rsidRDefault="00076180" w:rsidP="00076180"/>
    <w:p w14:paraId="00683989" w14:textId="77777777" w:rsidR="00076180" w:rsidRDefault="00076180" w:rsidP="00076180">
      <w:r>
        <w:t>0) Purpose and scope</w:t>
      </w:r>
    </w:p>
    <w:p w14:paraId="3973F890" w14:textId="77777777" w:rsidR="00076180" w:rsidRDefault="00076180" w:rsidP="00076180">
      <w:r>
        <w:t>1) This rubric is for grading a single uploaded markdown “session file” that contains:</w:t>
      </w:r>
    </w:p>
    <w:p w14:paraId="31138435" w14:textId="77777777" w:rsidR="00076180" w:rsidRDefault="00076180" w:rsidP="00076180">
      <w:r>
        <w:t xml:space="preserve">   a) The natural-language clinical/research question,</w:t>
      </w:r>
    </w:p>
    <w:p w14:paraId="54C3A996" w14:textId="77777777" w:rsidR="00076180" w:rsidRDefault="00076180" w:rsidP="00076180">
      <w:r>
        <w:t xml:space="preserve">   b) The agent’s reasoning steps,</w:t>
      </w:r>
    </w:p>
    <w:p w14:paraId="714DD281" w14:textId="77777777" w:rsidR="00076180" w:rsidRDefault="00076180" w:rsidP="00076180">
      <w:r>
        <w:t xml:space="preserve">   c) The executed tool calls (SQL and/or Cypher) used to answer it.</w:t>
      </w:r>
    </w:p>
    <w:p w14:paraId="51919819" w14:textId="77777777" w:rsidR="00076180" w:rsidRDefault="00076180" w:rsidP="00076180">
      <w:r>
        <w:t xml:space="preserve">2) The clinician score reflects correctness and interpretability of the ANSWER with respect to the clinical intent, using the same three-point scale described in the </w:t>
      </w:r>
      <w:proofErr w:type="spellStart"/>
      <w:r>
        <w:t>MedCP</w:t>
      </w:r>
      <w:proofErr w:type="spellEnd"/>
      <w:r>
        <w:t xml:space="preserve"> manuscript:</w:t>
      </w:r>
    </w:p>
    <w:p w14:paraId="5984CCE0" w14:textId="77777777" w:rsidR="00076180" w:rsidRDefault="00076180" w:rsidP="00076180">
      <w:r>
        <w:t xml:space="preserve">   0 = incorrect or misleading,</w:t>
      </w:r>
    </w:p>
    <w:p w14:paraId="56B48664" w14:textId="77777777" w:rsidR="00076180" w:rsidRDefault="00076180" w:rsidP="00076180">
      <w:r>
        <w:t xml:space="preserve">   1 = mostly correct but with minor deviations from assumptions or modest execution flaws not affecting the overall conclusion,</w:t>
      </w:r>
    </w:p>
    <w:p w14:paraId="66947C13" w14:textId="77777777" w:rsidR="00076180" w:rsidRDefault="00076180" w:rsidP="00076180">
      <w:r>
        <w:t xml:space="preserve">   2 = fully correct, precise, complete, and well-justified.</w:t>
      </w:r>
    </w:p>
    <w:p w14:paraId="6968C542" w14:textId="77777777" w:rsidR="00076180" w:rsidRDefault="00076180" w:rsidP="00076180">
      <w:r>
        <w:t>3) The clinician should not “grade the writing style”; focus on whether the evidence (queries + results) supports a clinically valid conclusion.</w:t>
      </w:r>
    </w:p>
    <w:p w14:paraId="73646571" w14:textId="77777777" w:rsidR="00076180" w:rsidRDefault="00076180" w:rsidP="00076180"/>
    <w:p w14:paraId="6D94928A" w14:textId="77777777" w:rsidR="00076180" w:rsidRDefault="00076180" w:rsidP="00076180">
      <w:r>
        <w:t>1) Required review workflow (clinician)</w:t>
      </w:r>
    </w:p>
    <w:p w14:paraId="77C6A6F3" w14:textId="77777777" w:rsidR="00076180" w:rsidRDefault="00076180" w:rsidP="00076180">
      <w:r>
        <w:t>1) Identify the question type and the implied study design:</w:t>
      </w:r>
    </w:p>
    <w:p w14:paraId="1AFFAAFF" w14:textId="77777777" w:rsidR="00076180" w:rsidRDefault="00076180" w:rsidP="00076180">
      <w:r>
        <w:t xml:space="preserve">   a) Prevalence / “How many have X?” (patient-level count),</w:t>
      </w:r>
    </w:p>
    <w:p w14:paraId="5D4FAFB5" w14:textId="77777777" w:rsidR="00076180" w:rsidRDefault="00076180" w:rsidP="00076180">
      <w:r>
        <w:t xml:space="preserve">   b) Incidence / “new diagnosis” (first event in a time window),</w:t>
      </w:r>
    </w:p>
    <w:p w14:paraId="5514A000" w14:textId="77777777" w:rsidR="00076180" w:rsidRDefault="00076180" w:rsidP="00076180">
      <w:r>
        <w:t xml:space="preserve">   c) Treatment uptake / prescribing frequency,</w:t>
      </w:r>
    </w:p>
    <w:p w14:paraId="134AF366" w14:textId="77777777" w:rsidR="00076180" w:rsidRDefault="00076180" w:rsidP="00076180">
      <w:r>
        <w:t xml:space="preserve">   d) Safety signal / adverse event within a window after exposure,</w:t>
      </w:r>
    </w:p>
    <w:p w14:paraId="3D6849E6" w14:textId="77777777" w:rsidR="00076180" w:rsidRDefault="00076180" w:rsidP="00076180">
      <w:r>
        <w:t xml:space="preserve">   e) Comparative effectiveness / outcomes by regimen,</w:t>
      </w:r>
    </w:p>
    <w:p w14:paraId="64E7DF15" w14:textId="77777777" w:rsidR="00076180" w:rsidRDefault="00076180" w:rsidP="00076180">
      <w:r>
        <w:t xml:space="preserve">   f) Comorbidity profiling,</w:t>
      </w:r>
    </w:p>
    <w:p w14:paraId="2E66235D" w14:textId="77777777" w:rsidR="00076180" w:rsidRDefault="00076180" w:rsidP="00076180">
      <w:r>
        <w:t xml:space="preserve">   g) Mechanistic/biological contextualization using a knowledge graph.</w:t>
      </w:r>
    </w:p>
    <w:p w14:paraId="1F676E7E" w14:textId="77777777" w:rsidR="00076180" w:rsidRDefault="00076180" w:rsidP="00076180">
      <w:r>
        <w:t>2) Extract the clinical “PICO-like” elements (even if not stated explicitly):</w:t>
      </w:r>
    </w:p>
    <w:p w14:paraId="5E06AB18" w14:textId="77777777" w:rsidR="00076180" w:rsidRDefault="00076180" w:rsidP="00076180">
      <w:r>
        <w:lastRenderedPageBreak/>
        <w:t xml:space="preserve">   a) Population (age range, sex, disease cohort, setting),</w:t>
      </w:r>
    </w:p>
    <w:p w14:paraId="40DE90F5" w14:textId="77777777" w:rsidR="00076180" w:rsidRDefault="00076180" w:rsidP="00076180">
      <w:r>
        <w:t xml:space="preserve">   b) Index exposure/intervention (drug/class/procedure) and comparator,</w:t>
      </w:r>
    </w:p>
    <w:p w14:paraId="356BEDA8" w14:textId="77777777" w:rsidR="00076180" w:rsidRDefault="00076180" w:rsidP="00076180">
      <w:r>
        <w:t xml:space="preserve">   c) Outcomes (clinical codes, labs, visits, hospitalizations),</w:t>
      </w:r>
    </w:p>
    <w:p w14:paraId="08891A08" w14:textId="77777777" w:rsidR="00076180" w:rsidRDefault="00076180" w:rsidP="00076180">
      <w:r>
        <w:t xml:space="preserve">   d) Time horizon (lookback/follow-up),</w:t>
      </w:r>
    </w:p>
    <w:p w14:paraId="0EB849C6" w14:textId="77777777" w:rsidR="00076180" w:rsidRDefault="00076180" w:rsidP="00076180">
      <w:r>
        <w:t xml:space="preserve">   e) Key exclusions (prior disease, prior exposure, contraindications).</w:t>
      </w:r>
    </w:p>
    <w:p w14:paraId="4EF2F27E" w14:textId="77777777" w:rsidR="00076180" w:rsidRDefault="00076180" w:rsidP="00076180">
      <w:r>
        <w:t>3) Inspect the tool calls to confirm the operational definitions match the clinical intent.</w:t>
      </w:r>
    </w:p>
    <w:p w14:paraId="594DA323" w14:textId="77777777" w:rsidR="00076180" w:rsidRDefault="00076180" w:rsidP="00076180">
      <w:r>
        <w:t>4) Validate that the reported results (counts/rates/ranks/comparisons) are interpretable:</w:t>
      </w:r>
    </w:p>
    <w:p w14:paraId="12786DFA" w14:textId="77777777" w:rsidR="00076180" w:rsidRDefault="00076180" w:rsidP="00076180">
      <w:r>
        <w:t xml:space="preserve">   a) Clear numerator and denominator,</w:t>
      </w:r>
    </w:p>
    <w:p w14:paraId="311FD7C1" w14:textId="77777777" w:rsidR="00076180" w:rsidRDefault="00076180" w:rsidP="00076180">
      <w:r>
        <w:t xml:space="preserve">   b) Absolute counts when feasible (not just percentages),</w:t>
      </w:r>
    </w:p>
    <w:p w14:paraId="2DA4C8FA" w14:textId="77777777" w:rsidR="00076180" w:rsidRDefault="00076180" w:rsidP="00076180">
      <w:r>
        <w:t xml:space="preserve">   c) Units and thresholds for labs are clinically sensible.</w:t>
      </w:r>
    </w:p>
    <w:p w14:paraId="25BEEBB3" w14:textId="77777777" w:rsidR="00076180" w:rsidRDefault="00076180" w:rsidP="00076180"/>
    <w:p w14:paraId="2864F371" w14:textId="77777777" w:rsidR="00076180" w:rsidRDefault="00076180" w:rsidP="00076180">
      <w:r>
        <w:t>2) Core grading dimensions (clinician emphasis)</w:t>
      </w:r>
    </w:p>
    <w:p w14:paraId="43DBFF7B" w14:textId="77777777" w:rsidR="00076180" w:rsidRDefault="00076180" w:rsidP="00076180"/>
    <w:p w14:paraId="69E4EBD2" w14:textId="77777777" w:rsidR="00076180" w:rsidRDefault="00076180" w:rsidP="00076180">
      <w:r>
        <w:t>2.1) Clinical validity of concept selection (phenotypes, drugs, outcomes)</w:t>
      </w:r>
    </w:p>
    <w:p w14:paraId="0E37C4D6" w14:textId="77777777" w:rsidR="00076180" w:rsidRDefault="00076180" w:rsidP="00076180">
      <w:r>
        <w:t>1) Condition phenotypes:</w:t>
      </w:r>
    </w:p>
    <w:p w14:paraId="0C870EA7" w14:textId="77777777" w:rsidR="00076180" w:rsidRDefault="00076180" w:rsidP="00076180">
      <w:r>
        <w:t xml:space="preserve">   a) Ensure the condition captured matches the clinical entity (not a symptom, synonym, complication, or overly broad category unless intended).</w:t>
      </w:r>
    </w:p>
    <w:p w14:paraId="3449C608" w14:textId="77777777" w:rsidR="00076180" w:rsidRDefault="00076180" w:rsidP="00076180">
      <w:r>
        <w:t xml:space="preserve">   b) Watch for concept drift where a related-but-different diagnosis is used as the target condition.</w:t>
      </w:r>
    </w:p>
    <w:p w14:paraId="0D3EDE93" w14:textId="77777777" w:rsidR="00076180" w:rsidRDefault="00076180" w:rsidP="00076180">
      <w:r>
        <w:t>2) Drug exposures:</w:t>
      </w:r>
    </w:p>
    <w:p w14:paraId="3FED73AF" w14:textId="77777777" w:rsidR="00076180" w:rsidRDefault="00076180" w:rsidP="00076180">
      <w:r>
        <w:t xml:space="preserve">   a) Ensure the selected drug(s) truly represent the stated class/strategy (e.g., “triple DMARDs” or “biologic + methotrexate” requires complete and clinically appropriate component definitions).</w:t>
      </w:r>
    </w:p>
    <w:p w14:paraId="137BE8F4" w14:textId="77777777" w:rsidR="00076180" w:rsidRDefault="00076180" w:rsidP="00076180">
      <w:r>
        <w:t xml:space="preserve">   b) If only a subset of drugs in a class is used, this must be stated; otherwise treat as incomplete.</w:t>
      </w:r>
    </w:p>
    <w:p w14:paraId="13A48D18" w14:textId="77777777" w:rsidR="00076180" w:rsidRDefault="00076180" w:rsidP="00076180">
      <w:r>
        <w:t>3) Outcomes/endpoints:</w:t>
      </w:r>
    </w:p>
    <w:p w14:paraId="2AC58AE4" w14:textId="77777777" w:rsidR="00076180" w:rsidRDefault="00076180" w:rsidP="00076180">
      <w:r>
        <w:t xml:space="preserve">   a) Ensure outcomes are clinically appropriate proxies (e.g., a “flare” proxy should be defined and justified; a single nonspecific code may be insufficient).</w:t>
      </w:r>
    </w:p>
    <w:p w14:paraId="776E1701" w14:textId="77777777" w:rsidR="00076180" w:rsidRDefault="00076180" w:rsidP="00076180">
      <w:r>
        <w:lastRenderedPageBreak/>
        <w:t xml:space="preserve">   b) Ensure laboratory thresholds use correct units and do not mix incomparable measurements without harmonization.</w:t>
      </w:r>
    </w:p>
    <w:p w14:paraId="55757AD2" w14:textId="77777777" w:rsidR="00076180" w:rsidRDefault="00076180" w:rsidP="00076180"/>
    <w:p w14:paraId="16F5B511" w14:textId="77777777" w:rsidR="00076180" w:rsidRDefault="00076180" w:rsidP="00076180">
      <w:r>
        <w:t>2.2) Cohort definition and temporal alignment (clinical meaning)</w:t>
      </w:r>
    </w:p>
    <w:p w14:paraId="6B2FFA6E" w14:textId="77777777" w:rsidR="00076180" w:rsidRDefault="00076180" w:rsidP="00076180">
      <w:r>
        <w:t>1) “New users” and “new diagnosis”:</w:t>
      </w:r>
    </w:p>
    <w:p w14:paraId="2AA74313" w14:textId="77777777" w:rsidR="00076180" w:rsidRDefault="00076180" w:rsidP="00076180">
      <w:r>
        <w:t xml:space="preserve">   a) Confirm a first-ever exposure/diagnosis definition (or a stated lookback period) is used.</w:t>
      </w:r>
    </w:p>
    <w:p w14:paraId="6DC50624" w14:textId="77777777" w:rsidR="00076180" w:rsidRDefault="00076180" w:rsidP="00076180">
      <w:r>
        <w:t>2) Time windows:</w:t>
      </w:r>
    </w:p>
    <w:p w14:paraId="3A8995E7" w14:textId="77777777" w:rsidR="00076180" w:rsidRDefault="00076180" w:rsidP="00076180">
      <w:r>
        <w:t xml:space="preserve">   a) Confirm outcomes are measured AFTER the index date within the stated follow-up window (e.g., 30/90/180 days).</w:t>
      </w:r>
    </w:p>
    <w:p w14:paraId="4B489E4D" w14:textId="77777777" w:rsidR="00076180" w:rsidRDefault="00076180" w:rsidP="00076180">
      <w:r>
        <w:t xml:space="preserve">   b) Confirm “past year / last 24 months / past two years” is implemented accurately (no future windows, no unbounded history unless intended).</w:t>
      </w:r>
    </w:p>
    <w:p w14:paraId="3BEDD294" w14:textId="77777777" w:rsidR="00076180" w:rsidRDefault="00076180" w:rsidP="00076180">
      <w:r>
        <w:t>3) Activity/observability:</w:t>
      </w:r>
    </w:p>
    <w:p w14:paraId="2DB4531B" w14:textId="77777777" w:rsidR="00076180" w:rsidRDefault="00076180" w:rsidP="00076180">
      <w:r>
        <w:t xml:space="preserve">   a) If the question implies “currently active in our records,” ensure some observation period constraint or recent encounter evidence is used (or the limitation is clearly acknowledged).</w:t>
      </w:r>
    </w:p>
    <w:p w14:paraId="79E4F664" w14:textId="77777777" w:rsidR="00076180" w:rsidRDefault="00076180" w:rsidP="00076180"/>
    <w:p w14:paraId="5FCD5462" w14:textId="77777777" w:rsidR="00076180" w:rsidRDefault="00076180" w:rsidP="00076180">
      <w:r>
        <w:t>2.3) Interpretability and reporting quality (clinician-facing)</w:t>
      </w:r>
    </w:p>
    <w:p w14:paraId="632B2FC2" w14:textId="77777777" w:rsidR="00076180" w:rsidRDefault="00076180" w:rsidP="00076180">
      <w:r>
        <w:t>1) Minimum reporting elements for a high score:</w:t>
      </w:r>
    </w:p>
    <w:p w14:paraId="0AD3FE7F" w14:textId="77777777" w:rsidR="00076180" w:rsidRDefault="00076180" w:rsidP="00076180">
      <w:r>
        <w:t xml:space="preserve">   a) Cohort size (denominator),</w:t>
      </w:r>
    </w:p>
    <w:p w14:paraId="01D6F986" w14:textId="77777777" w:rsidR="00076180" w:rsidRDefault="00076180" w:rsidP="00076180">
      <w:r>
        <w:t xml:space="preserve">   b) Outcome counts (numerator) and a proportion/rate,</w:t>
      </w:r>
    </w:p>
    <w:p w14:paraId="2F2F43AD" w14:textId="77777777" w:rsidR="00076180" w:rsidRDefault="00076180" w:rsidP="00076180">
      <w:r>
        <w:t xml:space="preserve">   c) Clear timeframe,</w:t>
      </w:r>
    </w:p>
    <w:p w14:paraId="43440DF4" w14:textId="77777777" w:rsidR="00076180" w:rsidRDefault="00076180" w:rsidP="00076180">
      <w:r>
        <w:t xml:space="preserve">   d) If comparing groups: show results for both groups and the comparison metric (difference/ratio), even if descriptive.</w:t>
      </w:r>
    </w:p>
    <w:p w14:paraId="24D82CC6" w14:textId="77777777" w:rsidR="00076180" w:rsidRDefault="00076180" w:rsidP="00076180">
      <w:r>
        <w:t>2) Penalize (usually to score 1) if:</w:t>
      </w:r>
    </w:p>
    <w:p w14:paraId="143A6752" w14:textId="77777777" w:rsidR="00076180" w:rsidRDefault="00076180" w:rsidP="00076180">
      <w:r>
        <w:t xml:space="preserve">   a) Only relative statements are given without any counts,</w:t>
      </w:r>
    </w:p>
    <w:p w14:paraId="1F9A81E5" w14:textId="77777777" w:rsidR="00076180" w:rsidRDefault="00076180" w:rsidP="00076180">
      <w:r>
        <w:t xml:space="preserve">   b) The answer is not structured in the way the question asks (e.g., asked “by indication” but grouped differently),</w:t>
      </w:r>
    </w:p>
    <w:p w14:paraId="0575DE26" w14:textId="77777777" w:rsidR="00076180" w:rsidRDefault="00076180" w:rsidP="00076180">
      <w:r>
        <w:lastRenderedPageBreak/>
        <w:t xml:space="preserve">   c) Interpretation is generic and could be misread as a clinical guideline rather than descriptive EHR evidence.</w:t>
      </w:r>
    </w:p>
    <w:p w14:paraId="15D814E0" w14:textId="77777777" w:rsidR="00076180" w:rsidRDefault="00076180" w:rsidP="00076180"/>
    <w:p w14:paraId="1DA58A47" w14:textId="77777777" w:rsidR="00076180" w:rsidRDefault="00076180" w:rsidP="00076180">
      <w:r>
        <w:t>2.4) Biological contextualization using the knowledge graph (KG)</w:t>
      </w:r>
    </w:p>
    <w:p w14:paraId="72B68268" w14:textId="77777777" w:rsidR="00076180" w:rsidRDefault="00076180" w:rsidP="00076180">
      <w:r>
        <w:t>1) If the question requests biological mechanisms/pathways:</w:t>
      </w:r>
    </w:p>
    <w:p w14:paraId="5EB5CDF5" w14:textId="77777777" w:rsidR="00076180" w:rsidRDefault="00076180" w:rsidP="00076180">
      <w:r>
        <w:t xml:space="preserve">   a) The mechanistic claims must be supported by KG tool calls OR clearly labeled as general background not derived from the KG.</w:t>
      </w:r>
    </w:p>
    <w:p w14:paraId="7FAB2BB5" w14:textId="77777777" w:rsidR="00076180" w:rsidRDefault="00076180" w:rsidP="00076180">
      <w:r>
        <w:t>2) Hallucination rule (important):</w:t>
      </w:r>
    </w:p>
    <w:p w14:paraId="64B8BAAF" w14:textId="77777777" w:rsidR="00076180" w:rsidRDefault="00076180" w:rsidP="00076180">
      <w:r>
        <w:t xml:space="preserve">   a) If the answer attributes </w:t>
      </w:r>
      <w:proofErr w:type="gramStart"/>
      <w:r>
        <w:t>a specific fact</w:t>
      </w:r>
      <w:proofErr w:type="gramEnd"/>
      <w:r>
        <w:t xml:space="preserve"> to the KG that was not retrieved by KG queries, treat as misleading and score down (often to 1; to 0 if it materially changes the conclusion).</w:t>
      </w:r>
    </w:p>
    <w:p w14:paraId="1DDEB60D" w14:textId="77777777" w:rsidR="00076180" w:rsidRDefault="00076180" w:rsidP="00076180">
      <w:r>
        <w:t>3) Clinical–biological coherence:</w:t>
      </w:r>
    </w:p>
    <w:p w14:paraId="03FAC879" w14:textId="77777777" w:rsidR="00076180" w:rsidRDefault="00076180" w:rsidP="00076180">
      <w:r>
        <w:t xml:space="preserve">   a) Mechanisms should plausibly connect the clinical entities (disease ↔ pathway ↔ drug target) and not contradict established clinical knowledge.</w:t>
      </w:r>
    </w:p>
    <w:p w14:paraId="46E982D4" w14:textId="77777777" w:rsidR="00076180" w:rsidRDefault="00076180" w:rsidP="00076180"/>
    <w:p w14:paraId="074CD3B0" w14:textId="77777777" w:rsidR="00076180" w:rsidRDefault="00076180" w:rsidP="00076180">
      <w:r>
        <w:t>2.5) Data adequacy, limitations, and plausibility checks</w:t>
      </w:r>
    </w:p>
    <w:p w14:paraId="2961C428" w14:textId="77777777" w:rsidR="00076180" w:rsidRDefault="00076180" w:rsidP="00076180">
      <w:r>
        <w:t>1) Clinicians should sanity-check magnitudes and plausibility:</w:t>
      </w:r>
    </w:p>
    <w:p w14:paraId="26AEF55F" w14:textId="77777777" w:rsidR="00076180" w:rsidRDefault="00076180" w:rsidP="00076180">
      <w:r>
        <w:t xml:space="preserve">   a) Extremely low event counts for common outcomes may reflect under-capture or wrong phenotype; acceptable only if explicitly acknowledged and interpretation is cautious.</w:t>
      </w:r>
    </w:p>
    <w:p w14:paraId="2107F1E4" w14:textId="77777777" w:rsidR="00076180" w:rsidRDefault="00076180" w:rsidP="00076180">
      <w:r>
        <w:t xml:space="preserve">   b) Implausible time ranges (e.g., events counted into future years) are major errors.</w:t>
      </w:r>
    </w:p>
    <w:p w14:paraId="48D76A08" w14:textId="77777777" w:rsidR="00076180" w:rsidRDefault="00076180" w:rsidP="00076180">
      <w:r>
        <w:t>2) Missingness/coverage:</w:t>
      </w:r>
    </w:p>
    <w:p w14:paraId="0B0B8336" w14:textId="77777777" w:rsidR="00076180" w:rsidRDefault="00076180" w:rsidP="00076180">
      <w:r>
        <w:t xml:space="preserve">   a) If key data elements are likely missing in OMOP (outside labs, non-standard panels, incomplete medication capture), a strong answer notes this limitation.</w:t>
      </w:r>
    </w:p>
    <w:p w14:paraId="53B55AF9" w14:textId="77777777" w:rsidR="00076180" w:rsidRDefault="00076180" w:rsidP="00076180">
      <w:r>
        <w:t>3) “Reasoning correct but no data”:</w:t>
      </w:r>
    </w:p>
    <w:p w14:paraId="6F6FF0AD" w14:textId="77777777" w:rsidR="00076180" w:rsidRDefault="00076180" w:rsidP="00076180">
      <w:r>
        <w:t xml:space="preserve">   a) If the workflow never actually retrieves the needed clinical outcomes (e.g., only discusses mechanism), the question is not answered.</w:t>
      </w:r>
    </w:p>
    <w:p w14:paraId="3470FE1B" w14:textId="77777777" w:rsidR="00076180" w:rsidRDefault="00076180" w:rsidP="00076180"/>
    <w:p w14:paraId="6DD122CE" w14:textId="77777777" w:rsidR="00076180" w:rsidRDefault="00076180" w:rsidP="00076180">
      <w:r>
        <w:t>3) Scoring rules (0/1/2) for the Clinician</w:t>
      </w:r>
    </w:p>
    <w:p w14:paraId="0B31203E" w14:textId="77777777" w:rsidR="00076180" w:rsidRDefault="00076180" w:rsidP="00076180"/>
    <w:p w14:paraId="76AE911C" w14:textId="77777777" w:rsidR="00076180" w:rsidRDefault="00076180" w:rsidP="00076180">
      <w:r>
        <w:lastRenderedPageBreak/>
        <w:t>3.1) Score = 2 (fully correct, precise, well-justified)</w:t>
      </w:r>
    </w:p>
    <w:p w14:paraId="2201CDEB" w14:textId="77777777" w:rsidR="00076180" w:rsidRDefault="00076180" w:rsidP="00076180">
      <w:r>
        <w:t>Assign 2 only if ALL are true:</w:t>
      </w:r>
    </w:p>
    <w:p w14:paraId="3A4575AE" w14:textId="77777777" w:rsidR="00076180" w:rsidRDefault="00076180" w:rsidP="00076180">
      <w:r>
        <w:t>1) The operational cohort/exposure/outcome definitions match the clinical intent and timeframe.</w:t>
      </w:r>
    </w:p>
    <w:p w14:paraId="15C06EBA" w14:textId="77777777" w:rsidR="00076180" w:rsidRDefault="00076180" w:rsidP="00076180">
      <w:r>
        <w:t>2) The answer is evidence-backed by the executed queries (EHR and KG as applicable).</w:t>
      </w:r>
    </w:p>
    <w:p w14:paraId="1264993C" w14:textId="77777777" w:rsidR="00076180" w:rsidRDefault="00076180" w:rsidP="00076180">
      <w:r>
        <w:t>3) Results are interpretable:</w:t>
      </w:r>
    </w:p>
    <w:p w14:paraId="38574719" w14:textId="77777777" w:rsidR="00076180" w:rsidRDefault="00076180" w:rsidP="00076180">
      <w:r>
        <w:t xml:space="preserve">   a) Includes cohort size and outcome counts/rates for the requested window,</w:t>
      </w:r>
    </w:p>
    <w:p w14:paraId="074F5BAF" w14:textId="77777777" w:rsidR="00076180" w:rsidRDefault="00076180" w:rsidP="00076180">
      <w:r>
        <w:t xml:space="preserve">   b) Provides both arms for comparative questions (or clearly states when data are insufficient).</w:t>
      </w:r>
    </w:p>
    <w:p w14:paraId="0A7CF4A3" w14:textId="77777777" w:rsidR="00076180" w:rsidRDefault="00076180" w:rsidP="00076180">
      <w:r>
        <w:t>4) Any important EHR/KG limitations or data sparsity that could bias interpretation are disclosed.</w:t>
      </w:r>
    </w:p>
    <w:p w14:paraId="76C1BD32" w14:textId="77777777" w:rsidR="00076180" w:rsidRDefault="00076180" w:rsidP="00076180">
      <w:r>
        <w:t>5) Biological contextualization (if requested) is coherent and either query-supported or clearly labeled as background.</w:t>
      </w:r>
    </w:p>
    <w:p w14:paraId="018418E9" w14:textId="77777777" w:rsidR="00076180" w:rsidRDefault="00076180" w:rsidP="00076180"/>
    <w:p w14:paraId="43BC4BC8" w14:textId="77777777" w:rsidR="00076180" w:rsidRDefault="00076180" w:rsidP="00076180">
      <w:r>
        <w:t>3.2) Score = 1 (mostly correct but suboptimal)</w:t>
      </w:r>
    </w:p>
    <w:p w14:paraId="29B406C9" w14:textId="77777777" w:rsidR="00076180" w:rsidRDefault="00076180" w:rsidP="00076180">
      <w:r>
        <w:t>Assign 1 if the answer is broadly correct, but has ONE OR MORE minor issues that do not overturn the main conclusion:</w:t>
      </w:r>
    </w:p>
    <w:p w14:paraId="7A7504C3" w14:textId="77777777" w:rsidR="00076180" w:rsidRDefault="00076180" w:rsidP="00076180">
      <w:r>
        <w:t>1) Incomplete capture:</w:t>
      </w:r>
    </w:p>
    <w:p w14:paraId="7644B26F" w14:textId="77777777" w:rsidR="00076180" w:rsidRDefault="00076180" w:rsidP="00076180">
      <w:r>
        <w:t xml:space="preserve">   a) Incomplete medication list for a stated class,</w:t>
      </w:r>
    </w:p>
    <w:p w14:paraId="447E476E" w14:textId="77777777" w:rsidR="00076180" w:rsidRDefault="00076180" w:rsidP="00076180">
      <w:r>
        <w:t xml:space="preserve">   b) Incomplete set of outcomes/complications when asked for “most frequent” categories.</w:t>
      </w:r>
    </w:p>
    <w:p w14:paraId="3B873196" w14:textId="77777777" w:rsidR="00076180" w:rsidRDefault="00076180" w:rsidP="00076180">
      <w:r>
        <w:t>2) Minor clinical mismatch:</w:t>
      </w:r>
    </w:p>
    <w:p w14:paraId="4C860D2D" w14:textId="77777777" w:rsidR="00076180" w:rsidRDefault="00076180" w:rsidP="00076180">
      <w:r>
        <w:t xml:space="preserve">   a) Includes a closely related but not exact phenotype (e.g., a synonym counted as a “comorbidity”),</w:t>
      </w:r>
    </w:p>
    <w:p w14:paraId="4DB44E57" w14:textId="77777777" w:rsidR="00076180" w:rsidRDefault="00076180" w:rsidP="00076180">
      <w:r>
        <w:t xml:space="preserve">   b) Uses a reasonable but imperfect proxy outcome that could misclassify at scale.</w:t>
      </w:r>
    </w:p>
    <w:p w14:paraId="192E3507" w14:textId="77777777" w:rsidR="00076180" w:rsidRDefault="00076180" w:rsidP="00076180">
      <w:r>
        <w:t>3) Reporting/interpretation shortcomings:</w:t>
      </w:r>
    </w:p>
    <w:p w14:paraId="1CB503B8" w14:textId="77777777" w:rsidR="00076180" w:rsidRDefault="00076180" w:rsidP="00076180">
      <w:r>
        <w:t xml:space="preserve">   a) Missing absolute counts (only percentages or qualitative statements),</w:t>
      </w:r>
    </w:p>
    <w:p w14:paraId="675C69D5" w14:textId="77777777" w:rsidR="00076180" w:rsidRDefault="00076180" w:rsidP="00076180">
      <w:r>
        <w:t xml:space="preserve">   b) Generic contextualization that risks misinterpretation (but results are still correct).</w:t>
      </w:r>
    </w:p>
    <w:p w14:paraId="5F54EEDD" w14:textId="77777777" w:rsidR="00076180" w:rsidRDefault="00076180" w:rsidP="00076180">
      <w:r>
        <w:t>4) KG support is partial:</w:t>
      </w:r>
    </w:p>
    <w:p w14:paraId="585C6FFF" w14:textId="77777777" w:rsidR="00076180" w:rsidRDefault="00076180" w:rsidP="00076180">
      <w:r>
        <w:lastRenderedPageBreak/>
        <w:t xml:space="preserve">   a) Mechanism discussion is plausible but not tightly grounded in the KG queries,</w:t>
      </w:r>
    </w:p>
    <w:p w14:paraId="6D417010" w14:textId="77777777" w:rsidR="00076180" w:rsidRDefault="00076180" w:rsidP="00076180">
      <w:r>
        <w:t xml:space="preserve">   b) A minor KG attribution error that does not change the overall conclusion.</w:t>
      </w:r>
    </w:p>
    <w:p w14:paraId="0274FB45" w14:textId="77777777" w:rsidR="00076180" w:rsidRDefault="00076180" w:rsidP="00076180"/>
    <w:p w14:paraId="5CD8374B" w14:textId="77777777" w:rsidR="00076180" w:rsidRDefault="00076180" w:rsidP="00076180">
      <w:r>
        <w:t>3.3) Score = 0 (incorrect or misleading)</w:t>
      </w:r>
    </w:p>
    <w:p w14:paraId="6DCE1F0C" w14:textId="77777777" w:rsidR="00076180" w:rsidRDefault="00076180" w:rsidP="00076180">
      <w:r>
        <w:t>Assign 0 if ANY major issue is present:</w:t>
      </w:r>
    </w:p>
    <w:p w14:paraId="178A084C" w14:textId="77777777" w:rsidR="00076180" w:rsidRDefault="00076180" w:rsidP="00076180">
      <w:r>
        <w:t>1) Clinically wrong concept selection (e.g., drug/condition relationship is incorrect or contradicts basic clinical knowledge) and it affects the conclusion.</w:t>
      </w:r>
    </w:p>
    <w:p w14:paraId="256D0588" w14:textId="77777777" w:rsidR="00076180" w:rsidRDefault="00076180" w:rsidP="00076180">
      <w:r>
        <w:t>2) Major cohort/time-window error:</w:t>
      </w:r>
    </w:p>
    <w:p w14:paraId="6279F58A" w14:textId="77777777" w:rsidR="00076180" w:rsidRDefault="00076180" w:rsidP="00076180">
      <w:r>
        <w:t xml:space="preserve">   a) Wrong timeframe (e.g., includes future years or fails to apply “past year”),</w:t>
      </w:r>
    </w:p>
    <w:p w14:paraId="7BCDA5BE" w14:textId="77777777" w:rsidR="00076180" w:rsidRDefault="00076180" w:rsidP="00076180">
      <w:r>
        <w:t xml:space="preserve">   b) Key restriction omitted (e.g., required subtype such as </w:t>
      </w:r>
      <w:proofErr w:type="spellStart"/>
      <w:r>
        <w:t>HBeAg</w:t>
      </w:r>
      <w:proofErr w:type="spellEnd"/>
      <w:r>
        <w:t>-positive, organism-specific infections, or etiological agent).</w:t>
      </w:r>
    </w:p>
    <w:p w14:paraId="1B5C5878" w14:textId="77777777" w:rsidR="00076180" w:rsidRDefault="00076180" w:rsidP="00076180">
      <w:r>
        <w:t>3) Failure to answer:</w:t>
      </w:r>
    </w:p>
    <w:p w14:paraId="40BAC365" w14:textId="77777777" w:rsidR="00076180" w:rsidRDefault="00076180" w:rsidP="00076180">
      <w:r>
        <w:t xml:space="preserve">   a) No outcome rates/comparisons are </w:t>
      </w:r>
      <w:proofErr w:type="gramStart"/>
      <w:r>
        <w:t>actually computed</w:t>
      </w:r>
      <w:proofErr w:type="gramEnd"/>
      <w:r>
        <w:t xml:space="preserve"> for the asked window,</w:t>
      </w:r>
    </w:p>
    <w:p w14:paraId="57E6BE53" w14:textId="77777777" w:rsidR="00076180" w:rsidRDefault="00076180" w:rsidP="00076180">
      <w:r>
        <w:t xml:space="preserve">   b) Output is hypothetical/speculative rather than </w:t>
      </w:r>
      <w:proofErr w:type="gramStart"/>
      <w:r>
        <w:t>query-driven</w:t>
      </w:r>
      <w:proofErr w:type="gramEnd"/>
      <w:r>
        <w:t>.</w:t>
      </w:r>
    </w:p>
    <w:p w14:paraId="4A205EAD" w14:textId="77777777" w:rsidR="00076180" w:rsidRDefault="00076180" w:rsidP="00076180">
      <w:r>
        <w:t>4) Misleading mechanistic claims:</w:t>
      </w:r>
    </w:p>
    <w:p w14:paraId="56DCFB99" w14:textId="77777777" w:rsidR="00076180" w:rsidRDefault="00076180" w:rsidP="00076180">
      <w:r>
        <w:t xml:space="preserve">   a) Attributes key evidence to the KG without </w:t>
      </w:r>
      <w:proofErr w:type="gramStart"/>
      <w:r>
        <w:t>actually retrieving</w:t>
      </w:r>
      <w:proofErr w:type="gramEnd"/>
      <w:r>
        <w:t xml:space="preserve"> it, and this drives the conclusion.</w:t>
      </w:r>
    </w:p>
    <w:p w14:paraId="76ACF3DF" w14:textId="77777777" w:rsidR="00076180" w:rsidRDefault="00076180" w:rsidP="00076180"/>
    <w:p w14:paraId="6414A34D" w14:textId="77777777" w:rsidR="00076180" w:rsidRDefault="00076180" w:rsidP="00076180">
      <w:r>
        <w:t xml:space="preserve">4) </w:t>
      </w:r>
      <w:proofErr w:type="gramStart"/>
      <w:r>
        <w:t>Clinician</w:t>
      </w:r>
      <w:proofErr w:type="gramEnd"/>
      <w:r>
        <w:t xml:space="preserve"> note-writing requirements</w:t>
      </w:r>
    </w:p>
    <w:p w14:paraId="06C9B364" w14:textId="77777777" w:rsidR="00076180" w:rsidRDefault="00076180" w:rsidP="00076180">
      <w:r>
        <w:t>1) When scoring 1 or 0, explicitly state what was missing/wrong and why it matters clinically:</w:t>
      </w:r>
    </w:p>
    <w:p w14:paraId="02F3C4D2" w14:textId="77777777" w:rsidR="00076180" w:rsidRDefault="00076180" w:rsidP="00076180">
      <w:r>
        <w:t xml:space="preserve">   a) Quote the exact missing element or mis-specified criterion when available (e.g., “no restriction to gram-negative UTI”).</w:t>
      </w:r>
    </w:p>
    <w:p w14:paraId="5CD25653" w14:textId="77777777" w:rsidR="00076180" w:rsidRDefault="00076180" w:rsidP="00076180">
      <w:r>
        <w:t>2) Prefer actionable feedback:</w:t>
      </w:r>
    </w:p>
    <w:p w14:paraId="0C46842D" w14:textId="77777777" w:rsidR="00076180" w:rsidRDefault="00076180" w:rsidP="00076180">
      <w:r>
        <w:t xml:space="preserve">   a) Name the clinical correction needed (e.g., “restrict cohort to </w:t>
      </w:r>
      <w:proofErr w:type="spellStart"/>
      <w:r>
        <w:t>HBeAg</w:t>
      </w:r>
      <w:proofErr w:type="spellEnd"/>
      <w:r>
        <w:t>-positive,” “define flare proxy,” “expand biologic class list,” “report absolute counts and denominators”).</w:t>
      </w:r>
    </w:p>
    <w:p w14:paraId="08496A8C" w14:textId="77777777" w:rsidR="00076180" w:rsidRDefault="00076180" w:rsidP="00076180">
      <w:r>
        <w:t>3) If you do not penalize a limitation, explain why:</w:t>
      </w:r>
    </w:p>
    <w:p w14:paraId="0389392E" w14:textId="77777777" w:rsidR="00076180" w:rsidRDefault="00076180" w:rsidP="00076180">
      <w:r>
        <w:lastRenderedPageBreak/>
        <w:t xml:space="preserve">   a) “Data are likely </w:t>
      </w:r>
      <w:proofErr w:type="gramStart"/>
      <w:r>
        <w:t>missing</w:t>
      </w:r>
      <w:proofErr w:type="gramEnd"/>
      <w:r>
        <w:t xml:space="preserve"> but the limitation is explicitly stated and interpretation remains cautious.”</w:t>
      </w:r>
    </w:p>
    <w:p w14:paraId="426355A7" w14:textId="77777777" w:rsidR="00076180" w:rsidRDefault="00076180" w:rsidP="00076180"/>
    <w:p w14:paraId="77D9CD7E" w14:textId="77777777" w:rsidR="00076180" w:rsidRDefault="00076180" w:rsidP="00076180">
      <w:r>
        <w:t>5) Adjudication guidance (optional, when used)</w:t>
      </w:r>
    </w:p>
    <w:p w14:paraId="79AD5534" w14:textId="77777777" w:rsidR="00076180" w:rsidRDefault="00076180" w:rsidP="00076180">
      <w:r>
        <w:t>1) If the clinician and bioinformatician scores differ:</w:t>
      </w:r>
    </w:p>
    <w:p w14:paraId="09AAA474" w14:textId="77777777" w:rsidR="00076180" w:rsidRDefault="00076180" w:rsidP="00076180">
      <w:r>
        <w:t xml:space="preserve">   a) Discuss whether the discrepancy reflects technical query correctness versus clinical meaning.</w:t>
      </w:r>
    </w:p>
    <w:p w14:paraId="7273B3A7" w14:textId="77777777" w:rsidR="00076180" w:rsidRDefault="00076180" w:rsidP="00076180">
      <w:r>
        <w:t xml:space="preserve">   b) If the query is correct but the clinical interpretation is misleading, clinician score should reflect that (often 1 or 0).</w:t>
      </w:r>
    </w:p>
    <w:p w14:paraId="5BC012BD" w14:textId="77777777" w:rsidR="00076180" w:rsidRDefault="00076180" w:rsidP="00076180">
      <w:r>
        <w:t xml:space="preserve">   c) If the clinical intent is met but the query is suboptimal, clinician may still score 2 while bioinformatician scores 1.</w:t>
      </w:r>
    </w:p>
    <w:p w14:paraId="729BCD46" w14:textId="77777777" w:rsidR="00076180" w:rsidRDefault="00076180" w:rsidP="00076180"/>
    <w:p w14:paraId="631F433C" w14:textId="5E1EF6DB" w:rsidR="00076180" w:rsidRDefault="00076180" w:rsidP="00076180">
      <w:r>
        <w:t>END OF CLINICIAN RUBRIC</w:t>
      </w:r>
    </w:p>
    <w:sectPr w:rsidR="000761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180"/>
    <w:rsid w:val="00076180"/>
    <w:rsid w:val="00DD0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970823"/>
  <w15:chartTrackingRefBased/>
  <w15:docId w15:val="{F07F154A-44AC-274F-B201-3450C93C9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1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1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1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1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1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1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1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1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1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1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1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1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1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1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1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1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1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1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1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1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1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1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1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1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1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1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1424</Words>
  <Characters>8119</Characters>
  <Application>Microsoft Office Word</Application>
  <DocSecurity>0</DocSecurity>
  <Lines>67</Lines>
  <Paragraphs>19</Paragraphs>
  <ScaleCrop>false</ScaleCrop>
  <Company/>
  <LinksUpToDate>false</LinksUpToDate>
  <CharactersWithSpaces>9524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Gu, Wanjun</dc:creator>
  <cp:keywords/>
  <dc:description/>
  <cp:lastModifiedBy>Gu, Wanjun</cp:lastModifiedBy>
  <cp:revision>1</cp:revision>
  <dcterms:created xsi:type="dcterms:W3CDTF">2026-02-02T00:04:00Z</dcterms:created>
  <dcterms:modified xsi:type="dcterms:W3CDTF">2026-02-02T00:05:00Z</dcterms:modified>
</cp:coreProperties>
</file>