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F7C2C" w14:textId="77777777" w:rsidR="00E85880" w:rsidRDefault="00000000">
      <w:pPr>
        <w:pStyle w:val="Heading2"/>
        <w:rPr>
          <w:b w:val="0"/>
          <w:bCs w:val="0"/>
          <w:u w:val="none"/>
        </w:rPr>
      </w:pPr>
      <w:bookmarkStart w:id="0" w:name="_v4z7hhr1g36m" w:colFirst="0" w:colLast="0"/>
      <w:bookmarkEnd w:id="0"/>
      <w:r>
        <w:rPr>
          <w:b w:val="0"/>
          <w:bCs w:val="0"/>
          <w:u w:val="none"/>
        </w:rPr>
        <w:t>Track B — Archetype Recommendation</w:t>
      </w:r>
    </w:p>
    <w:p w14:paraId="673B4720" w14:textId="77777777" w:rsidR="00E85880" w:rsidRDefault="00000000">
      <w:pPr>
        <w:ind w:left="0" w:firstLine="0"/>
      </w:pPr>
      <w:r>
        <w:rPr>
          <w:b/>
          <w:bCs/>
        </w:rPr>
        <w:t>Question answered:</w:t>
      </w:r>
      <w:r>
        <w:t xml:space="preserve"> Within categories Staples already owns, which product archetypes is it missing, and do they threaten 1P? </w:t>
      </w:r>
      <w:r>
        <w:rPr>
          <w:b/>
          <w:bCs/>
        </w:rPr>
        <w:t>Deliverable:</w:t>
      </w:r>
      <w:r>
        <w:t xml:space="preserve"> 25–40 scored archetypes, of which 12–18 shortlisted, each with 3–5 exemplar SKUs, an evidence card, and a cannibalization verdict. </w:t>
      </w:r>
      <w:r>
        <w:rPr>
          <w:b/>
          <w:bCs/>
        </w:rPr>
        <w:t>Owner:</w:t>
      </w:r>
      <w:r>
        <w:t xml:space="preserve"> Teja (B1, B4), Barath (Module C), Ayan (B2, B3 data acquisition).</w:t>
      </w:r>
    </w:p>
    <w:p w14:paraId="682477BB" w14:textId="77777777" w:rsidR="00E85880" w:rsidRDefault="00000000">
      <w:pPr>
        <w:pStyle w:val="Heading3"/>
        <w:rPr>
          <w:b w:val="0"/>
          <w:bCs w:val="0"/>
        </w:rPr>
      </w:pPr>
      <w:bookmarkStart w:id="1" w:name="_c7hng4numbj" w:colFirst="0" w:colLast="0"/>
      <w:bookmarkEnd w:id="1"/>
      <w:r>
        <w:rPr>
          <w:b w:val="0"/>
          <w:bCs w:val="0"/>
        </w:rPr>
        <w:t>B1 — Listing Collection &amp; Archetype Construction</w:t>
      </w:r>
    </w:p>
    <w:p w14:paraId="5A1235D2" w14:textId="77777777" w:rsidR="00E85880" w:rsidRDefault="00000000">
      <w:pPr>
        <w:pStyle w:val="Heading4"/>
        <w:ind w:left="0" w:firstLine="0"/>
        <w:rPr>
          <w:b w:val="0"/>
          <w:bCs w:val="0"/>
          <w:i w:val="0"/>
          <w:iCs w:val="0"/>
          <w:color w:val="666666"/>
        </w:rPr>
      </w:pPr>
      <w:bookmarkStart w:id="2" w:name="_s5gmfe63b2em" w:colFirst="0" w:colLast="0"/>
      <w:bookmarkEnd w:id="2"/>
      <w:r>
        <w:rPr>
          <w:b w:val="0"/>
          <w:bCs w:val="0"/>
          <w:i w:val="0"/>
          <w:iCs w:val="0"/>
          <w:color w:val="666666"/>
        </w:rPr>
        <w:t>B1.1 Select the L2 sub-categories</w:t>
      </w:r>
    </w:p>
    <w:p w14:paraId="07A7A0EB" w14:textId="77777777" w:rsidR="00E85880" w:rsidRDefault="00000000">
      <w:pPr>
        <w:ind w:left="0" w:firstLine="0"/>
      </w:pPr>
      <w:r>
        <w:t>Five L2s, chosen to test all three of Pat's mandates rather than five variations of one:</w:t>
      </w:r>
    </w:p>
    <w:p w14:paraId="44D512DD" w14:textId="77777777" w:rsidR="00E85880" w:rsidRDefault="00E85880">
      <w:pPr>
        <w:widowControl w:val="0"/>
        <w:ind w:left="0" w:firstLine="0"/>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85880" w14:paraId="6E797D57" w14:textId="77777777">
        <w:trPr>
          <w:tblHeader/>
        </w:trPr>
        <w:tc>
          <w:tcPr>
            <w:tcW w:w="3120" w:type="dxa"/>
            <w:tcMar>
              <w:top w:w="100" w:type="dxa"/>
              <w:left w:w="100" w:type="dxa"/>
              <w:bottom w:w="100" w:type="dxa"/>
              <w:right w:w="100" w:type="dxa"/>
            </w:tcMar>
          </w:tcPr>
          <w:p w14:paraId="3D418AAB" w14:textId="77777777" w:rsidR="00E85880" w:rsidRDefault="00000000">
            <w:pPr>
              <w:ind w:left="0" w:firstLine="0"/>
              <w:rPr>
                <w:b/>
                <w:bCs/>
              </w:rPr>
            </w:pPr>
            <w:r>
              <w:rPr>
                <w:b/>
                <w:bCs/>
              </w:rPr>
              <w:t>#</w:t>
            </w:r>
          </w:p>
        </w:tc>
        <w:tc>
          <w:tcPr>
            <w:tcW w:w="3120" w:type="dxa"/>
            <w:tcMar>
              <w:top w:w="100" w:type="dxa"/>
              <w:left w:w="100" w:type="dxa"/>
              <w:bottom w:w="100" w:type="dxa"/>
              <w:right w:w="100" w:type="dxa"/>
            </w:tcMar>
          </w:tcPr>
          <w:p w14:paraId="1671888E" w14:textId="77777777" w:rsidR="00E85880" w:rsidRDefault="00000000">
            <w:pPr>
              <w:ind w:left="0" w:firstLine="0"/>
              <w:rPr>
                <w:b/>
                <w:bCs/>
              </w:rPr>
            </w:pPr>
            <w:r>
              <w:rPr>
                <w:b/>
                <w:bCs/>
              </w:rPr>
              <w:t>L2</w:t>
            </w:r>
          </w:p>
        </w:tc>
        <w:tc>
          <w:tcPr>
            <w:tcW w:w="3120" w:type="dxa"/>
            <w:tcMar>
              <w:top w:w="100" w:type="dxa"/>
              <w:left w:w="100" w:type="dxa"/>
              <w:bottom w:w="100" w:type="dxa"/>
              <w:right w:w="100" w:type="dxa"/>
            </w:tcMar>
          </w:tcPr>
          <w:p w14:paraId="1C907F89" w14:textId="77777777" w:rsidR="00E85880" w:rsidRDefault="00000000">
            <w:pPr>
              <w:ind w:left="0" w:firstLine="0"/>
              <w:rPr>
                <w:b/>
                <w:bCs/>
              </w:rPr>
            </w:pPr>
            <w:r>
              <w:rPr>
                <w:b/>
                <w:bCs/>
              </w:rPr>
              <w:t>Mandate tested</w:t>
            </w:r>
          </w:p>
        </w:tc>
      </w:tr>
      <w:tr w:rsidR="00E85880" w14:paraId="22B92528" w14:textId="77777777">
        <w:tc>
          <w:tcPr>
            <w:tcW w:w="3120" w:type="dxa"/>
            <w:tcMar>
              <w:top w:w="100" w:type="dxa"/>
              <w:left w:w="100" w:type="dxa"/>
              <w:bottom w:w="100" w:type="dxa"/>
              <w:right w:w="100" w:type="dxa"/>
            </w:tcMar>
          </w:tcPr>
          <w:p w14:paraId="45CA52E3" w14:textId="77777777" w:rsidR="00E85880" w:rsidRDefault="00000000">
            <w:pPr>
              <w:ind w:left="0" w:firstLine="0"/>
            </w:pPr>
            <w:r>
              <w:t>1</w:t>
            </w:r>
          </w:p>
        </w:tc>
        <w:tc>
          <w:tcPr>
            <w:tcW w:w="3120" w:type="dxa"/>
            <w:tcMar>
              <w:top w:w="100" w:type="dxa"/>
              <w:left w:w="100" w:type="dxa"/>
              <w:bottom w:w="100" w:type="dxa"/>
              <w:right w:w="100" w:type="dxa"/>
            </w:tcMar>
          </w:tcPr>
          <w:p w14:paraId="7DDAB809" w14:textId="77777777" w:rsidR="00E85880" w:rsidRDefault="00000000">
            <w:pPr>
              <w:ind w:left="0" w:firstLine="0"/>
              <w:rPr>
                <w:color w:val="FF0000"/>
              </w:rPr>
            </w:pPr>
            <w:r>
              <w:rPr>
                <w:color w:val="FF0000"/>
              </w:rPr>
              <w:t>Chairs &amp; Seating</w:t>
            </w:r>
          </w:p>
        </w:tc>
        <w:tc>
          <w:tcPr>
            <w:tcW w:w="3120" w:type="dxa"/>
            <w:tcMar>
              <w:top w:w="100" w:type="dxa"/>
              <w:left w:w="100" w:type="dxa"/>
              <w:bottom w:w="100" w:type="dxa"/>
              <w:right w:w="100" w:type="dxa"/>
            </w:tcMar>
          </w:tcPr>
          <w:p w14:paraId="4AD32ED9" w14:textId="77777777" w:rsidR="00E85880" w:rsidRDefault="00000000">
            <w:pPr>
              <w:ind w:left="0" w:firstLine="0"/>
            </w:pPr>
            <w:r>
              <w:t>White Chair / design-forward core-adjacent (</w:t>
            </w:r>
            <w:r>
              <w:rPr>
                <w:b/>
                <w:bCs/>
              </w:rPr>
              <w:t>primary</w:t>
            </w:r>
            <w:r>
              <w:t>)</w:t>
            </w:r>
          </w:p>
        </w:tc>
      </w:tr>
      <w:tr w:rsidR="00E85880" w14:paraId="2E78784D" w14:textId="77777777">
        <w:tc>
          <w:tcPr>
            <w:tcW w:w="3120" w:type="dxa"/>
            <w:tcMar>
              <w:top w:w="100" w:type="dxa"/>
              <w:left w:w="100" w:type="dxa"/>
              <w:bottom w:w="100" w:type="dxa"/>
              <w:right w:w="100" w:type="dxa"/>
            </w:tcMar>
          </w:tcPr>
          <w:p w14:paraId="33D33FB5" w14:textId="77777777" w:rsidR="00E85880" w:rsidRDefault="00000000">
            <w:pPr>
              <w:ind w:left="0" w:firstLine="0"/>
            </w:pPr>
            <w:r>
              <w:t>2</w:t>
            </w:r>
          </w:p>
        </w:tc>
        <w:tc>
          <w:tcPr>
            <w:tcW w:w="3120" w:type="dxa"/>
            <w:tcMar>
              <w:top w:w="100" w:type="dxa"/>
              <w:left w:w="100" w:type="dxa"/>
              <w:bottom w:w="100" w:type="dxa"/>
              <w:right w:w="100" w:type="dxa"/>
            </w:tcMar>
          </w:tcPr>
          <w:p w14:paraId="4A3FC3DE" w14:textId="77777777" w:rsidR="00E85880" w:rsidRDefault="00000000">
            <w:pPr>
              <w:ind w:left="0" w:firstLine="0"/>
              <w:rPr>
                <w:color w:val="FF0000"/>
              </w:rPr>
            </w:pPr>
            <w:r>
              <w:rPr>
                <w:color w:val="FF0000"/>
              </w:rPr>
              <w:t>Desks &amp; Workstations</w:t>
            </w:r>
          </w:p>
        </w:tc>
        <w:tc>
          <w:tcPr>
            <w:tcW w:w="3120" w:type="dxa"/>
            <w:tcMar>
              <w:top w:w="100" w:type="dxa"/>
              <w:left w:w="100" w:type="dxa"/>
              <w:bottom w:w="100" w:type="dxa"/>
              <w:right w:w="100" w:type="dxa"/>
            </w:tcMar>
          </w:tcPr>
          <w:p w14:paraId="0B49EF92" w14:textId="77777777" w:rsidR="00E85880" w:rsidRDefault="00000000">
            <w:pPr>
              <w:ind w:left="0" w:firstLine="0"/>
            </w:pPr>
            <w:r>
              <w:t>Same thesis, different form factor — tests generalisation</w:t>
            </w:r>
          </w:p>
        </w:tc>
      </w:tr>
      <w:tr w:rsidR="00E85880" w14:paraId="6183601E" w14:textId="77777777">
        <w:tc>
          <w:tcPr>
            <w:tcW w:w="3120" w:type="dxa"/>
            <w:tcMar>
              <w:top w:w="100" w:type="dxa"/>
              <w:left w:w="100" w:type="dxa"/>
              <w:bottom w:w="100" w:type="dxa"/>
              <w:right w:w="100" w:type="dxa"/>
            </w:tcMar>
          </w:tcPr>
          <w:p w14:paraId="5EABE7A8" w14:textId="77777777" w:rsidR="00E85880" w:rsidRDefault="00000000">
            <w:pPr>
              <w:ind w:left="0" w:firstLine="0"/>
            </w:pPr>
            <w:r>
              <w:t>3</w:t>
            </w:r>
          </w:p>
        </w:tc>
        <w:tc>
          <w:tcPr>
            <w:tcW w:w="3120" w:type="dxa"/>
            <w:tcMar>
              <w:top w:w="100" w:type="dxa"/>
              <w:left w:w="100" w:type="dxa"/>
              <w:bottom w:w="100" w:type="dxa"/>
              <w:right w:w="100" w:type="dxa"/>
            </w:tcMar>
          </w:tcPr>
          <w:p w14:paraId="03E2EF07" w14:textId="77777777" w:rsidR="00E85880" w:rsidRDefault="00000000">
            <w:pPr>
              <w:ind w:left="0" w:firstLine="0"/>
              <w:rPr>
                <w:color w:val="FF0000"/>
              </w:rPr>
            </w:pPr>
            <w:r>
              <w:rPr>
                <w:color w:val="FF0000"/>
              </w:rPr>
              <w:t>Storage &amp; Organisation</w:t>
            </w:r>
          </w:p>
        </w:tc>
        <w:tc>
          <w:tcPr>
            <w:tcW w:w="3120" w:type="dxa"/>
            <w:tcMar>
              <w:top w:w="100" w:type="dxa"/>
              <w:left w:w="100" w:type="dxa"/>
              <w:bottom w:w="100" w:type="dxa"/>
              <w:right w:w="100" w:type="dxa"/>
            </w:tcMar>
          </w:tcPr>
          <w:p w14:paraId="33F88E99" w14:textId="77777777" w:rsidR="00E85880" w:rsidRDefault="00000000">
            <w:pPr>
              <w:ind w:left="0" w:firstLine="0"/>
            </w:pPr>
            <w:r>
              <w:t>Highest attach potential, lowest unit price, quick-win candidate</w:t>
            </w:r>
          </w:p>
        </w:tc>
      </w:tr>
      <w:tr w:rsidR="00E85880" w14:paraId="09485128" w14:textId="77777777">
        <w:tc>
          <w:tcPr>
            <w:tcW w:w="3120" w:type="dxa"/>
            <w:tcMar>
              <w:top w:w="100" w:type="dxa"/>
              <w:left w:w="100" w:type="dxa"/>
              <w:bottom w:w="100" w:type="dxa"/>
              <w:right w:w="100" w:type="dxa"/>
            </w:tcMar>
          </w:tcPr>
          <w:p w14:paraId="080B4541" w14:textId="77777777" w:rsidR="00E85880" w:rsidRDefault="00000000">
            <w:pPr>
              <w:ind w:left="0" w:firstLine="0"/>
            </w:pPr>
            <w:r>
              <w:t>4</w:t>
            </w:r>
          </w:p>
        </w:tc>
        <w:tc>
          <w:tcPr>
            <w:tcW w:w="3120" w:type="dxa"/>
            <w:tcMar>
              <w:top w:w="100" w:type="dxa"/>
              <w:left w:w="100" w:type="dxa"/>
              <w:bottom w:w="100" w:type="dxa"/>
              <w:right w:w="100" w:type="dxa"/>
            </w:tcMar>
          </w:tcPr>
          <w:p w14:paraId="336C86BC" w14:textId="77777777" w:rsidR="00E85880" w:rsidRDefault="00000000">
            <w:pPr>
              <w:ind w:left="0" w:firstLine="0"/>
              <w:rPr>
                <w:color w:val="FF0000"/>
              </w:rPr>
            </w:pPr>
            <w:r>
              <w:rPr>
                <w:color w:val="FF0000"/>
              </w:rPr>
              <w:t>Facility &amp; Janitorial Supplies</w:t>
            </w:r>
          </w:p>
        </w:tc>
        <w:tc>
          <w:tcPr>
            <w:tcW w:w="3120" w:type="dxa"/>
            <w:tcMar>
              <w:top w:w="100" w:type="dxa"/>
              <w:left w:w="100" w:type="dxa"/>
              <w:bottom w:w="100" w:type="dxa"/>
              <w:right w:w="100" w:type="dxa"/>
            </w:tcMar>
          </w:tcPr>
          <w:p w14:paraId="6579B602" w14:textId="77777777" w:rsidR="00E85880" w:rsidRDefault="00000000">
            <w:pPr>
              <w:ind w:left="0" w:firstLine="0"/>
            </w:pPr>
            <w:r>
              <w:t>The doc's "general business/facility supplies" whitespace target</w:t>
            </w:r>
          </w:p>
        </w:tc>
      </w:tr>
      <w:tr w:rsidR="00E85880" w14:paraId="1417F612" w14:textId="77777777">
        <w:tc>
          <w:tcPr>
            <w:tcW w:w="3120" w:type="dxa"/>
            <w:tcMar>
              <w:top w:w="100" w:type="dxa"/>
              <w:left w:w="100" w:type="dxa"/>
              <w:bottom w:w="100" w:type="dxa"/>
              <w:right w:w="100" w:type="dxa"/>
            </w:tcMar>
          </w:tcPr>
          <w:p w14:paraId="365E2A9F" w14:textId="77777777" w:rsidR="00E85880" w:rsidRDefault="00000000">
            <w:pPr>
              <w:ind w:left="0" w:firstLine="0"/>
            </w:pPr>
            <w:r>
              <w:t>5</w:t>
            </w:r>
          </w:p>
        </w:tc>
        <w:tc>
          <w:tcPr>
            <w:tcW w:w="3120" w:type="dxa"/>
            <w:tcMar>
              <w:top w:w="100" w:type="dxa"/>
              <w:left w:w="100" w:type="dxa"/>
              <w:bottom w:w="100" w:type="dxa"/>
              <w:right w:w="100" w:type="dxa"/>
            </w:tcMar>
          </w:tcPr>
          <w:p w14:paraId="5595ED5A" w14:textId="77777777" w:rsidR="00E85880" w:rsidRDefault="00000000">
            <w:pPr>
              <w:ind w:left="0" w:firstLine="0"/>
              <w:rPr>
                <w:color w:val="FF0000"/>
              </w:rPr>
            </w:pPr>
            <w:r>
              <w:rPr>
                <w:color w:val="FF0000"/>
              </w:rPr>
              <w:t>Lighting</w:t>
            </w:r>
          </w:p>
        </w:tc>
        <w:tc>
          <w:tcPr>
            <w:tcW w:w="3120" w:type="dxa"/>
            <w:tcMar>
              <w:top w:w="100" w:type="dxa"/>
              <w:left w:w="100" w:type="dxa"/>
              <w:bottom w:w="100" w:type="dxa"/>
              <w:right w:w="100" w:type="dxa"/>
            </w:tcMar>
          </w:tcPr>
          <w:p w14:paraId="73BF7C7E" w14:textId="77777777" w:rsidR="00E85880" w:rsidRDefault="00000000">
            <w:pPr>
              <w:ind w:left="0" w:firstLine="0"/>
            </w:pPr>
            <w:r>
              <w:t>Purest aesthetic category in the core catalog; strongest cannibalization contrast (1P is almost entirely utilitarian)</w:t>
            </w:r>
          </w:p>
        </w:tc>
      </w:tr>
    </w:tbl>
    <w:p w14:paraId="7647D399" w14:textId="77777777" w:rsidR="00E85880" w:rsidRDefault="00E85880">
      <w:pPr>
        <w:widowControl w:val="0"/>
        <w:ind w:left="0" w:firstLine="0"/>
      </w:pPr>
    </w:p>
    <w:p w14:paraId="3C8D843A" w14:textId="77777777" w:rsidR="00E85880" w:rsidRDefault="00000000">
      <w:pPr>
        <w:ind w:left="0" w:firstLine="0"/>
      </w:pPr>
      <w:r>
        <w:rPr>
          <w:rFonts w:ascii="Arial Unicode MS" w:eastAsia="Arial Unicode MS" w:hAnsi="Arial Unicode MS" w:cs="Arial Unicode MS"/>
        </w:rPr>
        <w:t>L2b product classes are enumerated per L2 during the crawl (e.g. Chairs → task / accent / stacking &amp; folding / waiting &amp; meeting / stools / executive).</w:t>
      </w:r>
    </w:p>
    <w:p w14:paraId="1C16716D" w14:textId="77777777" w:rsidR="00E85880" w:rsidRDefault="00000000">
      <w:pPr>
        <w:pStyle w:val="Heading4"/>
        <w:ind w:left="0" w:firstLine="0"/>
        <w:rPr>
          <w:b w:val="0"/>
          <w:bCs w:val="0"/>
          <w:i w:val="0"/>
          <w:iCs w:val="0"/>
          <w:color w:val="666666"/>
        </w:rPr>
      </w:pPr>
      <w:bookmarkStart w:id="3" w:name="_725sx2uvlbbq" w:colFirst="0" w:colLast="0"/>
      <w:bookmarkEnd w:id="3"/>
      <w:r>
        <w:rPr>
          <w:b w:val="0"/>
          <w:bCs w:val="0"/>
          <w:i w:val="0"/>
          <w:iCs w:val="0"/>
          <w:color w:val="666666"/>
        </w:rPr>
        <w:t>B1.2 Sampling design — the part most likely to be got wrong</w:t>
      </w:r>
    </w:p>
    <w:p w14:paraId="240A1999" w14:textId="77777777" w:rsidR="00E85880" w:rsidRDefault="00000000">
      <w:pPr>
        <w:ind w:left="0" w:firstLine="0"/>
      </w:pPr>
      <w:r>
        <w:rPr>
          <w:b/>
          <w:bCs/>
        </w:rPr>
        <w:t>Do not sample bestsellers.</w:t>
      </w:r>
      <w:r>
        <w:t xml:space="preserve"> Whitespace archetypes are under-represented in bestseller rankings by construction. Use a three-part stratified design per L2 per retailer:</w:t>
      </w:r>
    </w:p>
    <w:p w14:paraId="3284C27F" w14:textId="77777777" w:rsidR="00E85880" w:rsidRDefault="00E85880">
      <w:pPr>
        <w:widowControl w:val="0"/>
        <w:ind w:left="0" w:firstLine="0"/>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85880" w14:paraId="4198A133" w14:textId="77777777">
        <w:trPr>
          <w:tblHeader/>
        </w:trPr>
        <w:tc>
          <w:tcPr>
            <w:tcW w:w="3120" w:type="dxa"/>
            <w:tcMar>
              <w:top w:w="100" w:type="dxa"/>
              <w:left w:w="100" w:type="dxa"/>
              <w:bottom w:w="100" w:type="dxa"/>
              <w:right w:w="100" w:type="dxa"/>
            </w:tcMar>
          </w:tcPr>
          <w:p w14:paraId="2A2659A8" w14:textId="77777777" w:rsidR="00E85880" w:rsidRDefault="00000000">
            <w:pPr>
              <w:ind w:left="0" w:firstLine="0"/>
              <w:rPr>
                <w:b/>
                <w:bCs/>
              </w:rPr>
            </w:pPr>
            <w:r>
              <w:rPr>
                <w:b/>
                <w:bCs/>
              </w:rPr>
              <w:lastRenderedPageBreak/>
              <w:t>Stratum</w:t>
            </w:r>
          </w:p>
        </w:tc>
        <w:tc>
          <w:tcPr>
            <w:tcW w:w="3120" w:type="dxa"/>
            <w:tcMar>
              <w:top w:w="100" w:type="dxa"/>
              <w:left w:w="100" w:type="dxa"/>
              <w:bottom w:w="100" w:type="dxa"/>
              <w:right w:w="100" w:type="dxa"/>
            </w:tcMar>
          </w:tcPr>
          <w:p w14:paraId="1C4A3B81" w14:textId="77777777" w:rsidR="00E85880" w:rsidRDefault="00000000">
            <w:pPr>
              <w:ind w:left="0" w:firstLine="0"/>
              <w:rPr>
                <w:b/>
                <w:bCs/>
              </w:rPr>
            </w:pPr>
            <w:r>
              <w:rPr>
                <w:b/>
                <w:bCs/>
              </w:rPr>
              <w:t>Share</w:t>
            </w:r>
          </w:p>
        </w:tc>
        <w:tc>
          <w:tcPr>
            <w:tcW w:w="3120" w:type="dxa"/>
            <w:tcMar>
              <w:top w:w="100" w:type="dxa"/>
              <w:left w:w="100" w:type="dxa"/>
              <w:bottom w:w="100" w:type="dxa"/>
              <w:right w:w="100" w:type="dxa"/>
            </w:tcMar>
          </w:tcPr>
          <w:p w14:paraId="66D9838D" w14:textId="77777777" w:rsidR="00E85880" w:rsidRDefault="00000000">
            <w:pPr>
              <w:ind w:left="0" w:firstLine="0"/>
              <w:rPr>
                <w:b/>
                <w:bCs/>
              </w:rPr>
            </w:pPr>
            <w:r>
              <w:rPr>
                <w:b/>
                <w:bCs/>
              </w:rPr>
              <w:t>Method</w:t>
            </w:r>
          </w:p>
        </w:tc>
      </w:tr>
      <w:tr w:rsidR="00E85880" w14:paraId="1591EE4D" w14:textId="77777777">
        <w:tc>
          <w:tcPr>
            <w:tcW w:w="3120" w:type="dxa"/>
            <w:tcMar>
              <w:top w:w="100" w:type="dxa"/>
              <w:left w:w="100" w:type="dxa"/>
              <w:bottom w:w="100" w:type="dxa"/>
              <w:right w:w="100" w:type="dxa"/>
            </w:tcMar>
          </w:tcPr>
          <w:p w14:paraId="176CE75D" w14:textId="77777777" w:rsidR="00E85880" w:rsidRDefault="00000000">
            <w:pPr>
              <w:ind w:left="0" w:firstLine="0"/>
            </w:pPr>
            <w:r>
              <w:rPr>
                <w:b/>
                <w:bCs/>
              </w:rPr>
              <w:t>Facet enumeration</w:t>
            </w:r>
          </w:p>
        </w:tc>
        <w:tc>
          <w:tcPr>
            <w:tcW w:w="3120" w:type="dxa"/>
            <w:tcMar>
              <w:top w:w="100" w:type="dxa"/>
              <w:left w:w="100" w:type="dxa"/>
              <w:bottom w:w="100" w:type="dxa"/>
              <w:right w:w="100" w:type="dxa"/>
            </w:tcMar>
          </w:tcPr>
          <w:p w14:paraId="47F4995A" w14:textId="77777777" w:rsidR="00E85880" w:rsidRDefault="00000000">
            <w:pPr>
              <w:ind w:left="0" w:firstLine="0"/>
            </w:pPr>
            <w:r>
              <w:t>50%</w:t>
            </w:r>
          </w:p>
        </w:tc>
        <w:tc>
          <w:tcPr>
            <w:tcW w:w="3120" w:type="dxa"/>
            <w:tcMar>
              <w:top w:w="100" w:type="dxa"/>
              <w:left w:w="100" w:type="dxa"/>
              <w:bottom w:w="100" w:type="dxa"/>
              <w:right w:w="100" w:type="dxa"/>
            </w:tcMar>
          </w:tcPr>
          <w:p w14:paraId="0DABDEE0" w14:textId="77777777" w:rsidR="00E85880" w:rsidRDefault="00000000">
            <w:pPr>
              <w:ind w:left="0" w:firstLine="0"/>
            </w:pPr>
            <w:r>
              <w:t>Walk the site's own filter facets (</w:t>
            </w:r>
            <w:r>
              <w:rPr>
                <w:color w:val="FF0000"/>
              </w:rPr>
              <w:t>colour × material × price band</w:t>
            </w:r>
            <w:r>
              <w:t>) and pull N from each combination. This is the only method that guarantees coverage of thin cells, which is precisely where whitespace lives</w:t>
            </w:r>
          </w:p>
        </w:tc>
      </w:tr>
      <w:tr w:rsidR="00E85880" w14:paraId="5B1973A6" w14:textId="77777777">
        <w:tc>
          <w:tcPr>
            <w:tcW w:w="3120" w:type="dxa"/>
            <w:tcMar>
              <w:top w:w="100" w:type="dxa"/>
              <w:left w:w="100" w:type="dxa"/>
              <w:bottom w:w="100" w:type="dxa"/>
              <w:right w:w="100" w:type="dxa"/>
            </w:tcMar>
          </w:tcPr>
          <w:p w14:paraId="1A6FB8EC" w14:textId="77777777" w:rsidR="00E85880" w:rsidRDefault="00000000">
            <w:pPr>
              <w:ind w:left="0" w:firstLine="0"/>
            </w:pPr>
            <w:r>
              <w:rPr>
                <w:b/>
                <w:bCs/>
              </w:rPr>
              <w:t>Sort-order rotation</w:t>
            </w:r>
          </w:p>
        </w:tc>
        <w:tc>
          <w:tcPr>
            <w:tcW w:w="3120" w:type="dxa"/>
            <w:tcMar>
              <w:top w:w="100" w:type="dxa"/>
              <w:left w:w="100" w:type="dxa"/>
              <w:bottom w:w="100" w:type="dxa"/>
              <w:right w:w="100" w:type="dxa"/>
            </w:tcMar>
          </w:tcPr>
          <w:p w14:paraId="4B15EB02" w14:textId="77777777" w:rsidR="00E85880" w:rsidRDefault="00000000">
            <w:pPr>
              <w:ind w:left="0" w:firstLine="0"/>
            </w:pPr>
            <w:r>
              <w:t>30%</w:t>
            </w:r>
          </w:p>
        </w:tc>
        <w:tc>
          <w:tcPr>
            <w:tcW w:w="3120" w:type="dxa"/>
            <w:tcMar>
              <w:top w:w="100" w:type="dxa"/>
              <w:left w:w="100" w:type="dxa"/>
              <w:bottom w:w="100" w:type="dxa"/>
              <w:right w:w="100" w:type="dxa"/>
            </w:tcMar>
          </w:tcPr>
          <w:p w14:paraId="22E58B30" w14:textId="77777777" w:rsidR="00E85880" w:rsidRDefault="00000000">
            <w:pPr>
              <w:ind w:left="0" w:firstLine="0"/>
            </w:pPr>
            <w:r>
              <w:t xml:space="preserve">Pull top-N under each of: </w:t>
            </w:r>
            <w:r>
              <w:rPr>
                <w:color w:val="FF0000"/>
              </w:rPr>
              <w:t>bestselling, newest, price ascending, price descending, highest rated</w:t>
            </w:r>
            <w:r>
              <w:t>. Newest matters most — it surfaces archetypes that are entering the market</w:t>
            </w:r>
          </w:p>
        </w:tc>
      </w:tr>
      <w:tr w:rsidR="00E85880" w14:paraId="0975921A" w14:textId="77777777">
        <w:tc>
          <w:tcPr>
            <w:tcW w:w="3120" w:type="dxa"/>
            <w:tcMar>
              <w:top w:w="100" w:type="dxa"/>
              <w:left w:w="100" w:type="dxa"/>
              <w:bottom w:w="100" w:type="dxa"/>
              <w:right w:w="100" w:type="dxa"/>
            </w:tcMar>
          </w:tcPr>
          <w:p w14:paraId="7A767E85" w14:textId="77777777" w:rsidR="00E85880" w:rsidRDefault="00000000">
            <w:pPr>
              <w:ind w:left="0" w:firstLine="0"/>
            </w:pPr>
            <w:r>
              <w:rPr>
                <w:b/>
                <w:bCs/>
              </w:rPr>
              <w:t>Random tail</w:t>
            </w:r>
          </w:p>
        </w:tc>
        <w:tc>
          <w:tcPr>
            <w:tcW w:w="3120" w:type="dxa"/>
            <w:tcMar>
              <w:top w:w="100" w:type="dxa"/>
              <w:left w:w="100" w:type="dxa"/>
              <w:bottom w:w="100" w:type="dxa"/>
              <w:right w:w="100" w:type="dxa"/>
            </w:tcMar>
          </w:tcPr>
          <w:p w14:paraId="2EE09EA4" w14:textId="77777777" w:rsidR="00E85880" w:rsidRDefault="00000000">
            <w:pPr>
              <w:ind w:left="0" w:firstLine="0"/>
            </w:pPr>
            <w:r>
              <w:t>20%</w:t>
            </w:r>
          </w:p>
        </w:tc>
        <w:tc>
          <w:tcPr>
            <w:tcW w:w="3120" w:type="dxa"/>
            <w:tcMar>
              <w:top w:w="100" w:type="dxa"/>
              <w:left w:w="100" w:type="dxa"/>
              <w:bottom w:w="100" w:type="dxa"/>
              <w:right w:w="100" w:type="dxa"/>
            </w:tcMar>
          </w:tcPr>
          <w:p w14:paraId="7A32C9D3" w14:textId="77777777" w:rsidR="00E85880" w:rsidRDefault="00000000">
            <w:pPr>
              <w:ind w:left="0" w:firstLine="0"/>
            </w:pPr>
            <w:r>
              <w:t>Uniform random from the full category URL set in the sitemap</w:t>
            </w:r>
          </w:p>
        </w:tc>
      </w:tr>
    </w:tbl>
    <w:p w14:paraId="7E729907" w14:textId="77777777" w:rsidR="00E85880" w:rsidRDefault="00E85880">
      <w:pPr>
        <w:widowControl w:val="0"/>
        <w:ind w:left="0" w:firstLine="0"/>
      </w:pPr>
    </w:p>
    <w:p w14:paraId="0D659A7B" w14:textId="77777777" w:rsidR="00E85880" w:rsidRDefault="00000000">
      <w:pPr>
        <w:ind w:left="0" w:firstLine="0"/>
      </w:pPr>
      <w:r>
        <w:t xml:space="preserve">Record </w:t>
      </w:r>
      <w:r>
        <w:rPr>
          <w:rFonts w:ascii="Roboto Mono" w:eastAsia="Roboto Mono" w:hAnsi="Roboto Mono" w:cs="Roboto Mono"/>
          <w:color w:val="188038"/>
        </w:rPr>
        <w:t>sampling_stratum</w:t>
      </w:r>
      <w:r>
        <w:t xml:space="preserve"> on every row. All coverage claims must be reweighted by inclusion probability — otherwise facet enumeration inflates the apparent depth of thin cells.</w:t>
      </w:r>
    </w:p>
    <w:p w14:paraId="0DE41AC2" w14:textId="77777777" w:rsidR="00E85880" w:rsidRDefault="00E85880">
      <w:pPr>
        <w:widowControl w:val="0"/>
        <w:ind w:left="0" w:firstLine="0"/>
      </w:pPr>
    </w:p>
    <w:p w14:paraId="02E32F31" w14:textId="77777777" w:rsidR="00E85880" w:rsidRDefault="00000000">
      <w:pPr>
        <w:ind w:left="0" w:firstLine="0"/>
      </w:pPr>
      <w:r>
        <w:rPr>
          <w:b/>
          <w:bCs/>
        </w:rPr>
        <w:t>Volumes:</w:t>
      </w:r>
      <w:r>
        <w:rPr>
          <w:rFonts w:ascii="Arial Unicode MS" w:eastAsia="Arial Unicode MS" w:hAnsi="Arial Unicode MS" w:cs="Arial Unicode MS"/>
        </w:rPr>
        <w:t xml:space="preserve"> 200–500 listings per L2 per retailer × 5 L2s × 5 retailers ≈ 5,000–12,500 listings, plus </w:t>
      </w:r>
      <w:r>
        <w:rPr>
          <w:b/>
          <w:bCs/>
        </w:rPr>
        <w:t>complete</w:t>
      </w:r>
      <w:r>
        <w:t xml:space="preserve"> coverage of Staples' own listings in those 5 L2s (do not sample the baseline — you need exact 1P counts for the gap and cannibalization maths).</w:t>
      </w:r>
    </w:p>
    <w:p w14:paraId="60960C71" w14:textId="77777777" w:rsidR="00E85880" w:rsidRDefault="00E85880">
      <w:pPr>
        <w:widowControl w:val="0"/>
        <w:ind w:left="0" w:firstLine="0"/>
      </w:pPr>
    </w:p>
    <w:p w14:paraId="77683A3E" w14:textId="77777777" w:rsidR="00E85880" w:rsidRDefault="00000000">
      <w:pPr>
        <w:ind w:left="0" w:firstLine="0"/>
      </w:pPr>
      <w:r>
        <w:rPr>
          <w:b/>
          <w:bCs/>
        </w:rPr>
        <w:t>Retailer set for B1:</w:t>
      </w:r>
      <w:r>
        <w:t xml:space="preserve"> Staples (complete), Amazon Business, Wayfair Professional, Office Depot, Uline. Add Article/West Elm as a </w:t>
      </w:r>
      <w:r>
        <w:rPr>
          <w:i/>
          <w:iCs/>
        </w:rPr>
        <w:t>style reference corpus</w:t>
      </w:r>
      <w:r>
        <w:t xml:space="preserve"> only — used to define what "design-forward" looks like in embedding space, not counted in gap maths.</w:t>
      </w:r>
    </w:p>
    <w:p w14:paraId="748F62A4" w14:textId="77777777" w:rsidR="00E85880" w:rsidRDefault="00000000">
      <w:pPr>
        <w:pStyle w:val="Heading4"/>
        <w:ind w:left="0" w:firstLine="0"/>
        <w:rPr>
          <w:b w:val="0"/>
          <w:bCs w:val="0"/>
          <w:i w:val="0"/>
          <w:iCs w:val="0"/>
          <w:color w:val="666666"/>
        </w:rPr>
      </w:pPr>
      <w:bookmarkStart w:id="4" w:name="_f5f30t790slz" w:colFirst="0" w:colLast="0"/>
      <w:bookmarkEnd w:id="4"/>
      <w:r>
        <w:rPr>
          <w:b w:val="0"/>
          <w:bCs w:val="0"/>
          <w:i w:val="0"/>
          <w:iCs w:val="0"/>
          <w:color w:val="666666"/>
        </w:rPr>
        <w:t>B1.3 Extraction and normalisation</w:t>
      </w:r>
    </w:p>
    <w:p w14:paraId="3BC8332D" w14:textId="77777777" w:rsidR="00E85880" w:rsidRDefault="00000000">
      <w:pPr>
        <w:numPr>
          <w:ilvl w:val="0"/>
          <w:numId w:val="5"/>
        </w:numPr>
      </w:pPr>
      <w:r>
        <w:rPr>
          <w:b/>
          <w:bCs/>
        </w:rPr>
        <w:t>Fetch</w:t>
      </w:r>
      <w:r>
        <w:t xml:space="preserve"> via Rainforest (Amazon), licensed proxy provider or JSON-LD for the rest. Store raw HTML/JSON — you will need to re-parse.</w:t>
      </w:r>
    </w:p>
    <w:p w14:paraId="0A601A18" w14:textId="77777777" w:rsidR="00E85880" w:rsidRDefault="00000000">
      <w:pPr>
        <w:numPr>
          <w:ilvl w:val="0"/>
          <w:numId w:val="5"/>
        </w:numPr>
      </w:pPr>
      <w:r>
        <w:rPr>
          <w:b/>
          <w:bCs/>
        </w:rPr>
        <w:t>Deterministic fields first</w:t>
      </w:r>
      <w:r>
        <w:t xml:space="preserve"> (price, review_count, rating, brand_label, images) — parsed, never inferred.</w:t>
      </w:r>
    </w:p>
    <w:p w14:paraId="23D5CEE8" w14:textId="77777777" w:rsidR="00E85880" w:rsidRDefault="00000000">
      <w:pPr>
        <w:numPr>
          <w:ilvl w:val="0"/>
          <w:numId w:val="5"/>
        </w:numPr>
      </w:pPr>
      <w:r>
        <w:rPr>
          <w:b/>
          <w:bCs/>
        </w:rPr>
        <w:t>LLM attribute extraction, two-pass:</w:t>
      </w:r>
    </w:p>
    <w:p w14:paraId="5C6F58FF" w14:textId="77777777" w:rsidR="00E85880" w:rsidRDefault="00000000">
      <w:pPr>
        <w:numPr>
          <w:ilvl w:val="1"/>
          <w:numId w:val="5"/>
        </w:numPr>
      </w:pPr>
      <w:r>
        <w:rPr>
          <w:i/>
          <w:iCs/>
        </w:rPr>
        <w:t>Pass 1 — schema induction.</w:t>
      </w:r>
      <w:r>
        <w:t xml:space="preserve"> Sample 300 listings across the 5 L2s. Ask the model to propose the attribute vocabulary per L2b, with observed value frequencies. Human-review and </w:t>
      </w:r>
      <w:r>
        <w:rPr>
          <w:b/>
          <w:bCs/>
        </w:rPr>
        <w:t>freeze the schema by Day 4.</w:t>
      </w:r>
      <w:r>
        <w:t xml:space="preserve"> No additions after freeze; this is the single most common source of rework.</w:t>
      </w:r>
    </w:p>
    <w:p w14:paraId="36B609C0" w14:textId="77777777" w:rsidR="00E85880" w:rsidRDefault="00000000">
      <w:pPr>
        <w:numPr>
          <w:ilvl w:val="1"/>
          <w:numId w:val="5"/>
        </w:numPr>
      </w:pPr>
      <w:r>
        <w:rPr>
          <w:i/>
          <w:iCs/>
        </w:rPr>
        <w:lastRenderedPageBreak/>
        <w:t>Pass 2 — constrained extraction.</w:t>
      </w:r>
      <w:r>
        <w:t xml:space="preserve"> Full corpus, JSON schema with enum-constrained values, one call per listing (Batch API), input = title + bullets + description + primary image. Require a per-field confidence 0–1 and an </w:t>
      </w:r>
      <w:r>
        <w:rPr>
          <w:rFonts w:ascii="Roboto Mono" w:eastAsia="Roboto Mono" w:hAnsi="Roboto Mono" w:cs="Roboto Mono"/>
          <w:color w:val="188038"/>
        </w:rPr>
        <w:t>evidence_span</w:t>
      </w:r>
      <w:r>
        <w:t xml:space="preserve"> quoting the source text for each value.</w:t>
      </w:r>
    </w:p>
    <w:p w14:paraId="00A0DFCC" w14:textId="77777777" w:rsidR="00E85880" w:rsidRDefault="00000000">
      <w:pPr>
        <w:numPr>
          <w:ilvl w:val="0"/>
          <w:numId w:val="5"/>
        </w:numPr>
      </w:pPr>
      <w:r>
        <w:rPr>
          <w:b/>
          <w:bCs/>
        </w:rPr>
        <w:t>Confidence gating.</w:t>
      </w:r>
      <w:r>
        <w:t xml:space="preserve"> Fields below 0.7 confidence route to a review queue. Expect 8–15% of rows. Review the queue for the 5 fields the analysis actually depends on (colorway, material_class, form_factor, style_label, mechanism); accept model output on the rest.</w:t>
      </w:r>
    </w:p>
    <w:p w14:paraId="36B64ECE" w14:textId="77777777" w:rsidR="00E85880" w:rsidRDefault="00000000">
      <w:pPr>
        <w:numPr>
          <w:ilvl w:val="0"/>
          <w:numId w:val="5"/>
        </w:numPr>
      </w:pPr>
      <w:r>
        <w:rPr>
          <w:b/>
          <w:bCs/>
        </w:rPr>
        <w:t>Manufacturer resolution</w:t>
      </w:r>
      <w:r>
        <w:t xml:space="preserve"> (Teja's point, kept). Normalise </w:t>
      </w:r>
      <w:r>
        <w:rPr>
          <w:rFonts w:ascii="Roboto Mono" w:eastAsia="Roboto Mono" w:hAnsi="Roboto Mono" w:cs="Roboto Mono"/>
          <w:color w:val="188038"/>
        </w:rPr>
        <w:t>brand_label</w:t>
      </w:r>
      <w:r>
        <w:rPr>
          <w:rFonts w:ascii="Arial Unicode MS" w:eastAsia="Arial Unicode MS" w:hAnsi="Arial Unicode MS" w:cs="Arial Unicode MS"/>
        </w:rPr>
        <w:t xml:space="preserve"> → </w:t>
      </w:r>
      <w:r>
        <w:rPr>
          <w:rFonts w:ascii="Roboto Mono" w:eastAsia="Roboto Mono" w:hAnsi="Roboto Mono" w:cs="Roboto Mono"/>
          <w:color w:val="188038"/>
        </w:rPr>
        <w:t>manufacturer</w:t>
      </w:r>
      <w:r>
        <w:t xml:space="preserve"> via fuzzy match + LLM adjudication against a manufacturer reference list built from the corpus itself. Flag </w:t>
      </w:r>
      <w:r>
        <w:rPr>
          <w:rFonts w:ascii="Roboto Mono" w:eastAsia="Roboto Mono" w:hAnsi="Roboto Mono" w:cs="Roboto Mono"/>
          <w:color w:val="188038"/>
        </w:rPr>
        <w:t>same_manufacturer_cross_retailer</w:t>
      </w:r>
      <w:r>
        <w:t xml:space="preserve"> — these are identical products listed twice and must be deduped before any coverage count, or you will report whitespace that does not exist.</w:t>
      </w:r>
    </w:p>
    <w:p w14:paraId="0AFA096F" w14:textId="77777777" w:rsidR="00E85880" w:rsidRDefault="00000000">
      <w:pPr>
        <w:numPr>
          <w:ilvl w:val="0"/>
          <w:numId w:val="5"/>
        </w:numPr>
      </w:pPr>
      <w:r>
        <w:rPr>
          <w:b/>
          <w:bCs/>
        </w:rPr>
        <w:t>Deduplicate.</w:t>
      </w:r>
      <w:r>
        <w:rPr>
          <w:rFonts w:ascii="Arial Unicode MS" w:eastAsia="Arial Unicode MS" w:hAnsi="Arial Unicode MS" w:cs="Arial Unicode MS"/>
        </w:rPr>
        <w:t xml:space="preserve"> Blocking on (manufacturer, form_factor, price ±10%) then fused-embedding cosine &gt; 0.92 → same product. Manual audit of 100 flagged pairs.</w:t>
      </w:r>
    </w:p>
    <w:p w14:paraId="3548A90A" w14:textId="77777777" w:rsidR="00E85880" w:rsidRDefault="00000000">
      <w:pPr>
        <w:pStyle w:val="Heading4"/>
        <w:ind w:left="0" w:firstLine="0"/>
        <w:rPr>
          <w:b w:val="0"/>
          <w:bCs w:val="0"/>
          <w:i w:val="0"/>
          <w:iCs w:val="0"/>
          <w:color w:val="666666"/>
        </w:rPr>
      </w:pPr>
      <w:bookmarkStart w:id="5" w:name="_equhz89c3i8l" w:colFirst="0" w:colLast="0"/>
      <w:bookmarkEnd w:id="5"/>
      <w:r>
        <w:rPr>
          <w:b w:val="0"/>
          <w:bCs w:val="0"/>
          <w:i w:val="0"/>
          <w:iCs w:val="0"/>
          <w:color w:val="666666"/>
        </w:rPr>
        <w:t>B1.4 Archetype construction — grid first, clusters as validation</w:t>
      </w:r>
    </w:p>
    <w:p w14:paraId="3F89A393" w14:textId="77777777" w:rsidR="00E85880" w:rsidRDefault="00000000">
      <w:pPr>
        <w:ind w:left="0" w:firstLine="0"/>
      </w:pPr>
      <w:r>
        <w:t xml:space="preserve">Sai's example archetype — </w:t>
      </w:r>
      <w:r>
        <w:rPr>
          <w:i/>
          <w:iCs/>
        </w:rPr>
        <w:t>"Design-forward accent desk chair — white/neutral, molded shell or boucle, non-ergonomic, $120–250"</w:t>
      </w:r>
      <w:r>
        <w:t xml:space="preserve"> — is a </w:t>
      </w:r>
      <w:r>
        <w:rPr>
          <w:b/>
          <w:bCs/>
        </w:rPr>
        <w:t>facet grid cell</w:t>
      </w:r>
      <w:r>
        <w:t>, not a free cluster. Build it that way. Free clustering produces statistically valid groups that merchants cannot name or act on.</w:t>
      </w:r>
    </w:p>
    <w:p w14:paraId="1E55080F" w14:textId="77777777" w:rsidR="00E85880" w:rsidRDefault="00E85880">
      <w:pPr>
        <w:widowControl w:val="0"/>
        <w:ind w:left="0" w:firstLine="0"/>
      </w:pPr>
    </w:p>
    <w:p w14:paraId="3F22F021" w14:textId="77777777" w:rsidR="00E85880" w:rsidRDefault="00000000">
      <w:pPr>
        <w:ind w:left="0" w:firstLine="0"/>
      </w:pPr>
      <w:r>
        <w:rPr>
          <w:b/>
          <w:bCs/>
        </w:rPr>
        <w:t>Step 1 — define the facet grid per L2b.</w:t>
      </w:r>
      <w:r>
        <w:t xml:space="preserve"> For Chairs &amp; Seating:</w:t>
      </w:r>
    </w:p>
    <w:p w14:paraId="3A63032C" w14:textId="77777777" w:rsidR="00E85880" w:rsidRDefault="00E85880">
      <w:pPr>
        <w:widowControl w:val="0"/>
        <w:ind w:left="0" w:firstLine="0"/>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85880" w14:paraId="11CC7A9D" w14:textId="77777777">
        <w:trPr>
          <w:tblHeader/>
        </w:trPr>
        <w:tc>
          <w:tcPr>
            <w:tcW w:w="4680" w:type="dxa"/>
            <w:tcMar>
              <w:top w:w="100" w:type="dxa"/>
              <w:left w:w="100" w:type="dxa"/>
              <w:bottom w:w="100" w:type="dxa"/>
              <w:right w:w="100" w:type="dxa"/>
            </w:tcMar>
          </w:tcPr>
          <w:p w14:paraId="037D7904" w14:textId="77777777" w:rsidR="00E85880" w:rsidRDefault="00000000">
            <w:pPr>
              <w:ind w:left="0" w:firstLine="0"/>
              <w:rPr>
                <w:b/>
                <w:bCs/>
              </w:rPr>
            </w:pPr>
            <w:r>
              <w:rPr>
                <w:b/>
                <w:bCs/>
              </w:rPr>
              <w:t>Facet</w:t>
            </w:r>
          </w:p>
        </w:tc>
        <w:tc>
          <w:tcPr>
            <w:tcW w:w="4680" w:type="dxa"/>
            <w:tcMar>
              <w:top w:w="100" w:type="dxa"/>
              <w:left w:w="100" w:type="dxa"/>
              <w:bottom w:w="100" w:type="dxa"/>
              <w:right w:w="100" w:type="dxa"/>
            </w:tcMar>
          </w:tcPr>
          <w:p w14:paraId="7F98539C" w14:textId="77777777" w:rsidR="00E85880" w:rsidRDefault="00000000">
            <w:pPr>
              <w:ind w:left="0" w:firstLine="0"/>
              <w:rPr>
                <w:b/>
                <w:bCs/>
              </w:rPr>
            </w:pPr>
            <w:r>
              <w:rPr>
                <w:b/>
                <w:bCs/>
              </w:rPr>
              <w:t>Values</w:t>
            </w:r>
          </w:p>
        </w:tc>
      </w:tr>
      <w:tr w:rsidR="00E85880" w14:paraId="0BBC4305" w14:textId="77777777">
        <w:tc>
          <w:tcPr>
            <w:tcW w:w="4680" w:type="dxa"/>
            <w:tcMar>
              <w:top w:w="100" w:type="dxa"/>
              <w:left w:w="100" w:type="dxa"/>
              <w:bottom w:w="100" w:type="dxa"/>
              <w:right w:w="100" w:type="dxa"/>
            </w:tcMar>
          </w:tcPr>
          <w:p w14:paraId="6C88A516" w14:textId="77777777" w:rsidR="00E85880" w:rsidRDefault="00000000">
            <w:pPr>
              <w:ind w:left="0" w:firstLine="0"/>
            </w:pPr>
            <w:r>
              <w:t>form_factor</w:t>
            </w:r>
          </w:p>
        </w:tc>
        <w:tc>
          <w:tcPr>
            <w:tcW w:w="4680" w:type="dxa"/>
            <w:tcMar>
              <w:top w:w="100" w:type="dxa"/>
              <w:left w:w="100" w:type="dxa"/>
              <w:bottom w:w="100" w:type="dxa"/>
              <w:right w:w="100" w:type="dxa"/>
            </w:tcMar>
          </w:tcPr>
          <w:p w14:paraId="513224D8" w14:textId="77777777" w:rsidR="00E85880" w:rsidRDefault="00000000">
            <w:pPr>
              <w:ind w:left="0" w:firstLine="0"/>
            </w:pPr>
            <w:r>
              <w:t>task / accent / stacking / folding / guest / executive / stool / lounge</w:t>
            </w:r>
          </w:p>
        </w:tc>
      </w:tr>
      <w:tr w:rsidR="00E85880" w14:paraId="2C9E9800" w14:textId="77777777">
        <w:tc>
          <w:tcPr>
            <w:tcW w:w="4680" w:type="dxa"/>
            <w:tcMar>
              <w:top w:w="100" w:type="dxa"/>
              <w:left w:w="100" w:type="dxa"/>
              <w:bottom w:w="100" w:type="dxa"/>
              <w:right w:w="100" w:type="dxa"/>
            </w:tcMar>
          </w:tcPr>
          <w:p w14:paraId="5063D468" w14:textId="77777777" w:rsidR="00E85880" w:rsidRDefault="00000000">
            <w:pPr>
              <w:ind w:left="0" w:firstLine="0"/>
            </w:pPr>
            <w:r>
              <w:t>mechanism</w:t>
            </w:r>
          </w:p>
        </w:tc>
        <w:tc>
          <w:tcPr>
            <w:tcW w:w="4680" w:type="dxa"/>
            <w:tcMar>
              <w:top w:w="100" w:type="dxa"/>
              <w:left w:w="100" w:type="dxa"/>
              <w:bottom w:w="100" w:type="dxa"/>
              <w:right w:w="100" w:type="dxa"/>
            </w:tcMar>
          </w:tcPr>
          <w:p w14:paraId="20D87F76" w14:textId="77777777" w:rsidR="00E85880" w:rsidRDefault="00000000">
            <w:pPr>
              <w:ind w:left="0" w:firstLine="0"/>
            </w:pPr>
            <w:r>
              <w:t>fully-adjustable / tilt-only / fixed</w:t>
            </w:r>
          </w:p>
        </w:tc>
      </w:tr>
      <w:tr w:rsidR="00E85880" w14:paraId="4A3498CF" w14:textId="77777777">
        <w:tc>
          <w:tcPr>
            <w:tcW w:w="4680" w:type="dxa"/>
            <w:tcMar>
              <w:top w:w="100" w:type="dxa"/>
              <w:left w:w="100" w:type="dxa"/>
              <w:bottom w:w="100" w:type="dxa"/>
              <w:right w:w="100" w:type="dxa"/>
            </w:tcMar>
          </w:tcPr>
          <w:p w14:paraId="5B3A1270" w14:textId="77777777" w:rsidR="00E85880" w:rsidRDefault="00000000">
            <w:pPr>
              <w:ind w:left="0" w:firstLine="0"/>
            </w:pPr>
            <w:r>
              <w:t>material_class</w:t>
            </w:r>
          </w:p>
        </w:tc>
        <w:tc>
          <w:tcPr>
            <w:tcW w:w="4680" w:type="dxa"/>
            <w:tcMar>
              <w:top w:w="100" w:type="dxa"/>
              <w:left w:w="100" w:type="dxa"/>
              <w:bottom w:w="100" w:type="dxa"/>
              <w:right w:w="100" w:type="dxa"/>
            </w:tcMar>
          </w:tcPr>
          <w:p w14:paraId="5DE235BE" w14:textId="77777777" w:rsidR="00E85880" w:rsidRDefault="00000000">
            <w:pPr>
              <w:ind w:left="0" w:firstLine="0"/>
            </w:pPr>
            <w:r>
              <w:t>mesh / bonded-leather / woven-fabric / boucle-textured / molded-plastic / wood / metal</w:t>
            </w:r>
          </w:p>
        </w:tc>
      </w:tr>
      <w:tr w:rsidR="00E85880" w14:paraId="718C744C" w14:textId="77777777">
        <w:tc>
          <w:tcPr>
            <w:tcW w:w="4680" w:type="dxa"/>
            <w:tcMar>
              <w:top w:w="100" w:type="dxa"/>
              <w:left w:w="100" w:type="dxa"/>
              <w:bottom w:w="100" w:type="dxa"/>
              <w:right w:w="100" w:type="dxa"/>
            </w:tcMar>
          </w:tcPr>
          <w:p w14:paraId="5ED70E6C" w14:textId="77777777" w:rsidR="00E85880" w:rsidRDefault="00000000">
            <w:pPr>
              <w:ind w:left="0" w:firstLine="0"/>
            </w:pPr>
            <w:r>
              <w:t>colorway</w:t>
            </w:r>
          </w:p>
        </w:tc>
        <w:tc>
          <w:tcPr>
            <w:tcW w:w="4680" w:type="dxa"/>
            <w:tcMar>
              <w:top w:w="100" w:type="dxa"/>
              <w:left w:w="100" w:type="dxa"/>
              <w:bottom w:w="100" w:type="dxa"/>
              <w:right w:w="100" w:type="dxa"/>
            </w:tcMar>
          </w:tcPr>
          <w:p w14:paraId="7B511B2D" w14:textId="77777777" w:rsidR="00E85880" w:rsidRDefault="00000000">
            <w:pPr>
              <w:ind w:left="0" w:firstLine="0"/>
            </w:pPr>
            <w:r>
              <w:t>black-grey / white-cream / warm-neutral / wood-tone / bold-saturated</w:t>
            </w:r>
          </w:p>
        </w:tc>
      </w:tr>
      <w:tr w:rsidR="00E85880" w14:paraId="28D346AD" w14:textId="77777777">
        <w:tc>
          <w:tcPr>
            <w:tcW w:w="4680" w:type="dxa"/>
            <w:tcMar>
              <w:top w:w="100" w:type="dxa"/>
              <w:left w:w="100" w:type="dxa"/>
              <w:bottom w:w="100" w:type="dxa"/>
              <w:right w:w="100" w:type="dxa"/>
            </w:tcMar>
          </w:tcPr>
          <w:p w14:paraId="345677A1" w14:textId="77777777" w:rsidR="00E85880" w:rsidRDefault="00000000">
            <w:pPr>
              <w:ind w:left="0" w:firstLine="0"/>
            </w:pPr>
            <w:r>
              <w:t>price_band</w:t>
            </w:r>
          </w:p>
        </w:tc>
        <w:tc>
          <w:tcPr>
            <w:tcW w:w="4680" w:type="dxa"/>
            <w:tcMar>
              <w:top w:w="100" w:type="dxa"/>
              <w:left w:w="100" w:type="dxa"/>
              <w:bottom w:w="100" w:type="dxa"/>
              <w:right w:w="100" w:type="dxa"/>
            </w:tcMar>
          </w:tcPr>
          <w:p w14:paraId="7438243E" w14:textId="77777777" w:rsidR="00E85880" w:rsidRDefault="00000000">
            <w:pPr>
              <w:ind w:left="0" w:firstLine="0"/>
            </w:pPr>
            <w:r>
              <w:t>&lt;$100 / $100–250 / $250–500 / $500+</w:t>
            </w:r>
          </w:p>
        </w:tc>
      </w:tr>
      <w:tr w:rsidR="00E85880" w14:paraId="4979A7ED" w14:textId="77777777">
        <w:tc>
          <w:tcPr>
            <w:tcW w:w="4680" w:type="dxa"/>
            <w:tcMar>
              <w:top w:w="100" w:type="dxa"/>
              <w:left w:w="100" w:type="dxa"/>
              <w:bottom w:w="100" w:type="dxa"/>
              <w:right w:w="100" w:type="dxa"/>
            </w:tcMar>
          </w:tcPr>
          <w:p w14:paraId="4C4B20E8" w14:textId="77777777" w:rsidR="00E85880" w:rsidRDefault="00000000">
            <w:pPr>
              <w:ind w:left="0" w:firstLine="0"/>
            </w:pPr>
            <w:r>
              <w:t>ship_profile</w:t>
            </w:r>
          </w:p>
        </w:tc>
        <w:tc>
          <w:tcPr>
            <w:tcW w:w="4680" w:type="dxa"/>
            <w:tcMar>
              <w:top w:w="100" w:type="dxa"/>
              <w:left w:w="100" w:type="dxa"/>
              <w:bottom w:w="100" w:type="dxa"/>
              <w:right w:w="100" w:type="dxa"/>
            </w:tcMar>
          </w:tcPr>
          <w:p w14:paraId="793A37C0" w14:textId="77777777" w:rsidR="00E85880" w:rsidRDefault="00000000">
            <w:pPr>
              <w:ind w:left="0" w:firstLine="0"/>
            </w:pPr>
            <w:r>
              <w:t>parcel / oversize</w:t>
            </w:r>
          </w:p>
        </w:tc>
      </w:tr>
    </w:tbl>
    <w:p w14:paraId="5B2C0D95" w14:textId="77777777" w:rsidR="00E85880" w:rsidRDefault="00E85880">
      <w:pPr>
        <w:widowControl w:val="0"/>
        <w:ind w:left="0" w:firstLine="0"/>
      </w:pPr>
    </w:p>
    <w:p w14:paraId="4411E8D7" w14:textId="77777777" w:rsidR="00E85880" w:rsidRDefault="00000000">
      <w:pPr>
        <w:ind w:left="0" w:firstLine="0"/>
      </w:pPr>
      <w:r>
        <w:rPr>
          <w:b/>
          <w:bCs/>
        </w:rPr>
        <w:t>Step 2 — populate and prune.</w:t>
      </w:r>
      <w:r>
        <w:rPr>
          <w:rFonts w:ascii="Arial Unicode MS" w:eastAsia="Arial Unicode MS" w:hAnsi="Arial Unicode MS" w:cs="Arial Unicode MS"/>
        </w:rPr>
        <w:t xml:space="preserve"> Assign every listing to its cell. Prune cells with &lt; 15 listings across the whole panel (too thin to claim anything). Merge adjacent cells that differ on one low-information facet. Typical result: ~2,000 theoretical cells → 25–40 live archetypes across 5 L2s.</w:t>
      </w:r>
    </w:p>
    <w:p w14:paraId="7E1E6687" w14:textId="77777777" w:rsidR="00E85880" w:rsidRDefault="00E85880">
      <w:pPr>
        <w:widowControl w:val="0"/>
        <w:ind w:left="0" w:firstLine="0"/>
      </w:pPr>
    </w:p>
    <w:p w14:paraId="6F5054DB" w14:textId="77777777" w:rsidR="00E85880" w:rsidRDefault="00000000">
      <w:pPr>
        <w:ind w:left="0" w:firstLine="0"/>
      </w:pPr>
      <w:r>
        <w:rPr>
          <w:b/>
          <w:bCs/>
        </w:rPr>
        <w:t>Step 3 — validate the grid against unsupervised structure:</w:t>
      </w:r>
    </w:p>
    <w:p w14:paraId="77D453A9" w14:textId="77777777" w:rsidR="00E85880" w:rsidRDefault="00E85880">
      <w:pPr>
        <w:widowControl w:val="0"/>
        <w:ind w:left="0" w:firstLine="0"/>
      </w:pPr>
    </w:p>
    <w:p w14:paraId="279A6F36" w14:textId="77777777" w:rsidR="00E85880" w:rsidRDefault="00000000">
      <w:pPr>
        <w:numPr>
          <w:ilvl w:val="0"/>
          <w:numId w:val="4"/>
        </w:numPr>
      </w:pPr>
      <w:r>
        <w:t>UMAP on fused embeddings (</w:t>
      </w:r>
      <w:r>
        <w:rPr>
          <w:rFonts w:ascii="Roboto Mono" w:eastAsia="Roboto Mono" w:hAnsi="Roboto Mono" w:cs="Roboto Mono"/>
          <w:color w:val="188038"/>
        </w:rPr>
        <w:t>n_neighbors=15</w:t>
      </w:r>
      <w:r>
        <w:t xml:space="preserve">, </w:t>
      </w:r>
      <w:r>
        <w:rPr>
          <w:rFonts w:ascii="Roboto Mono" w:eastAsia="Roboto Mono" w:hAnsi="Roboto Mono" w:cs="Roboto Mono"/>
          <w:color w:val="188038"/>
        </w:rPr>
        <w:t>min_dist=0.0</w:t>
      </w:r>
      <w:r>
        <w:t xml:space="preserve">, </w:t>
      </w:r>
      <w:r>
        <w:rPr>
          <w:rFonts w:ascii="Roboto Mono" w:eastAsia="Roboto Mono" w:hAnsi="Roboto Mono" w:cs="Roboto Mono"/>
          <w:color w:val="188038"/>
        </w:rPr>
        <w:t>n_components=20</w:t>
      </w:r>
      <w:r>
        <w:rPr>
          <w:rFonts w:ascii="Arial Unicode MS" w:eastAsia="Arial Unicode MS" w:hAnsi="Arial Unicode MS" w:cs="Arial Unicode MS"/>
        </w:rPr>
        <w:t xml:space="preserve"> — reduce for clustering, not for plotting) → HDBSCAN (</w:t>
      </w:r>
      <w:r>
        <w:rPr>
          <w:rFonts w:ascii="Roboto Mono" w:eastAsia="Roboto Mono" w:hAnsi="Roboto Mono" w:cs="Roboto Mono"/>
          <w:color w:val="188038"/>
        </w:rPr>
        <w:t>min_cluster_size=15</w:t>
      </w:r>
      <w:r>
        <w:t xml:space="preserve">, </w:t>
      </w:r>
      <w:r>
        <w:rPr>
          <w:rFonts w:ascii="Roboto Mono" w:eastAsia="Roboto Mono" w:hAnsi="Roboto Mono" w:cs="Roboto Mono"/>
          <w:color w:val="188038"/>
        </w:rPr>
        <w:t>metric='euclidean'</w:t>
      </w:r>
      <w:r>
        <w:t xml:space="preserve"> on the UMAP output, </w:t>
      </w:r>
      <w:r>
        <w:rPr>
          <w:rFonts w:ascii="Roboto Mono" w:eastAsia="Roboto Mono" w:hAnsi="Roboto Mono" w:cs="Roboto Mono"/>
          <w:color w:val="188038"/>
        </w:rPr>
        <w:t>cluster_selection_method='leaf'</w:t>
      </w:r>
      <w:r>
        <w:t>).</w:t>
      </w:r>
    </w:p>
    <w:p w14:paraId="6AA924FC" w14:textId="77777777" w:rsidR="00E85880" w:rsidRDefault="00000000">
      <w:pPr>
        <w:numPr>
          <w:ilvl w:val="0"/>
          <w:numId w:val="4"/>
        </w:numPr>
      </w:pPr>
      <w:r>
        <w:t xml:space="preserve">Compute </w:t>
      </w:r>
      <w:r>
        <w:rPr>
          <w:b/>
          <w:bCs/>
        </w:rPr>
        <w:t>ARI between HDBSCAN labels and grid-cell labels.</w:t>
      </w:r>
      <w:r>
        <w:t xml:space="preserve"> ARI &gt; 0.5 means the grid is consistent with the data's natural structure. Below that, inspect where clusters split grid cells — it means a facet is missing from the grid (commonly: seat height, arm presence, or a brand-tier effect).</w:t>
      </w:r>
    </w:p>
    <w:p w14:paraId="75FCC47D" w14:textId="77777777" w:rsidR="00E85880" w:rsidRDefault="00000000">
      <w:pPr>
        <w:numPr>
          <w:ilvl w:val="0"/>
          <w:numId w:val="4"/>
        </w:numPr>
      </w:pPr>
      <w:r>
        <w:t xml:space="preserve">Cross-check with </w:t>
      </w:r>
      <w:r>
        <w:rPr>
          <w:b/>
          <w:bCs/>
        </w:rPr>
        <w:t>k-prototypes on pure attributes</w:t>
      </w:r>
      <w:r>
        <w:t xml:space="preserve"> (mixed categorical/numeric, Gower distance) as a third view.</w:t>
      </w:r>
    </w:p>
    <w:p w14:paraId="7D0AF3A8" w14:textId="77777777" w:rsidR="00E85880" w:rsidRDefault="00000000">
      <w:pPr>
        <w:numPr>
          <w:ilvl w:val="0"/>
          <w:numId w:val="4"/>
        </w:numPr>
      </w:pPr>
      <w:r>
        <w:rPr>
          <w:b/>
          <w:bCs/>
        </w:rPr>
        <w:t>Stability:</w:t>
      </w:r>
      <w:r>
        <w:rPr>
          <w:rFonts w:ascii="Arial Unicode MS" w:eastAsia="Arial Unicode MS" w:hAnsi="Arial Unicode MS" w:cs="Arial Unicode MS"/>
        </w:rPr>
        <w:t xml:space="preserve"> bootstrap resample 80% of listings 20 times, recompute, report mean ARI across runs. Target ≥ 0.70.</w:t>
      </w:r>
    </w:p>
    <w:p w14:paraId="283264CD" w14:textId="77777777" w:rsidR="00E85880" w:rsidRDefault="00E85880">
      <w:pPr>
        <w:widowControl w:val="0"/>
        <w:ind w:left="0" w:firstLine="0"/>
      </w:pPr>
    </w:p>
    <w:p w14:paraId="3051CE30" w14:textId="77777777" w:rsidR="00E85880" w:rsidRDefault="00000000">
      <w:pPr>
        <w:ind w:left="0" w:firstLine="0"/>
      </w:pPr>
      <w:r>
        <w:rPr>
          <w:b/>
          <w:bCs/>
        </w:rPr>
        <w:t>Step 4 — name the archetypes.</w:t>
      </w:r>
      <w:r>
        <w:t xml:space="preserve"> LLM generates a name and a one-line definition from the cell's facet values plus its 5 medoid listings. </w:t>
      </w:r>
      <w:r>
        <w:rPr>
          <w:b/>
          <w:bCs/>
        </w:rPr>
        <w:t>Nameability test:</w:t>
      </w:r>
      <w:r>
        <w:t xml:space="preserve"> show 5 archetype cards to a merchandising-literate colleague; they should be able to describe what each is in under 30 seconds without the facet table. Any archetype that fails gets re-cut.</w:t>
      </w:r>
    </w:p>
    <w:p w14:paraId="4D5FC660" w14:textId="77777777" w:rsidR="00E85880" w:rsidRDefault="00E85880">
      <w:pPr>
        <w:widowControl w:val="0"/>
        <w:ind w:left="0" w:firstLine="0"/>
      </w:pPr>
    </w:p>
    <w:p w14:paraId="6E4A40E4" w14:textId="77777777" w:rsidR="00E85880" w:rsidRDefault="00000000">
      <w:pPr>
        <w:ind w:left="0" w:firstLine="0"/>
      </w:pPr>
      <w:r>
        <w:rPr>
          <w:b/>
          <w:bCs/>
        </w:rPr>
        <w:t>Step 5 — compute the Design-Forward Index (DFI).</w:t>
      </w:r>
      <w:r>
        <w:t xml:space="preserve"> This is the White Chair thesis reduced to one measurable number.</w:t>
      </w:r>
    </w:p>
    <w:p w14:paraId="31A859E0" w14:textId="77777777" w:rsidR="00E85880" w:rsidRDefault="00E85880">
      <w:pPr>
        <w:widowControl w:val="0"/>
        <w:ind w:left="0" w:firstLine="0"/>
      </w:pPr>
    </w:p>
    <w:p w14:paraId="228CA158" w14:textId="77777777" w:rsidR="00E85880" w:rsidRDefault="00000000">
      <w:pPr>
        <w:ind w:left="0" w:firstLine="0"/>
      </w:pPr>
      <w:r>
        <w:t>Zero-shot SigLIP 2 classification with contrastive prompt pairs:</w:t>
      </w:r>
    </w:p>
    <w:p w14:paraId="081684F0" w14:textId="77777777" w:rsidR="00E85880" w:rsidRDefault="00E85880">
      <w:pPr>
        <w:widowControl w:val="0"/>
        <w:ind w:left="0" w:firstLine="0"/>
      </w:pPr>
    </w:p>
    <w:p w14:paraId="62F6A81A" w14:textId="77777777" w:rsidR="00E85880" w:rsidRDefault="00000000">
      <w:pPr>
        <w:ind w:left="0" w:firstLine="0"/>
        <w:rPr>
          <w:rFonts w:ascii="Roboto Mono" w:eastAsia="Roboto Mono" w:hAnsi="Roboto Mono" w:cs="Roboto Mono"/>
          <w:color w:val="188038"/>
          <w:sz w:val="18"/>
          <w:szCs w:val="18"/>
        </w:rPr>
      </w:pPr>
      <w:r>
        <w:rPr>
          <w:color w:val="188038"/>
        </w:rPr>
        <w:t></w:t>
      </w:r>
      <w:r>
        <w:rPr>
          <w:rFonts w:ascii="Roboto Mono" w:eastAsia="Roboto Mono" w:hAnsi="Roboto Mono" w:cs="Roboto Mono"/>
          <w:color w:val="188038"/>
          <w:sz w:val="18"/>
          <w:szCs w:val="18"/>
        </w:rPr>
        <w:t>A = "a photograph of a corporate ergonomic office chair, black mesh, utilitarian"</w:t>
      </w:r>
    </w:p>
    <w:p w14:paraId="2B9BE123"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B = "a photograph of a modern designer accent chair, sculptural, residential interior"</w:t>
      </w:r>
    </w:p>
    <w:p w14:paraId="1618C094"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DFI = softmax margin toward B, averaged over the listing's images</w:t>
      </w:r>
    </w:p>
    <w:p w14:paraId="4EA09E78" w14:textId="77777777" w:rsidR="00E85880" w:rsidRDefault="00000000">
      <w:pPr>
        <w:widowControl w:val="0"/>
        <w:ind w:left="0" w:firstLine="0"/>
      </w:pPr>
      <w:r>
        <w:rPr>
          <w:color w:val="188038"/>
        </w:rPr>
        <w:t></w:t>
      </w:r>
    </w:p>
    <w:p w14:paraId="02EC3DFC" w14:textId="77777777" w:rsidR="00E85880" w:rsidRDefault="00000000">
      <w:pPr>
        <w:ind w:left="0" w:firstLine="0"/>
      </w:pPr>
      <w:r>
        <w:rPr>
          <w:rFonts w:ascii="Arial Unicode MS" w:eastAsia="Arial Unicode MS" w:hAnsi="Arial Unicode MS" w:cs="Arial Unicode MS"/>
        </w:rPr>
        <w:t>Validate on 200 human-labelled images; target κ ≥ 0.65 against a two-rater ground truth. Report DFI distribution per archetype per retailer. The headline finding will almost certainly be: Staples' DFI distribution in Chairs &amp; Seating is compressed at the low end while Wayfair Pro's is bimodal. That single density plot is the strongest visual in the deck.</w:t>
      </w:r>
    </w:p>
    <w:p w14:paraId="3C129E99" w14:textId="77777777" w:rsidR="00E85880" w:rsidRDefault="00000000">
      <w:pPr>
        <w:pStyle w:val="Heading4"/>
        <w:ind w:left="0" w:firstLine="0"/>
        <w:rPr>
          <w:b w:val="0"/>
          <w:bCs w:val="0"/>
          <w:i w:val="0"/>
          <w:iCs w:val="0"/>
          <w:color w:val="666666"/>
        </w:rPr>
      </w:pPr>
      <w:bookmarkStart w:id="6" w:name="_h2eagmwfinm8" w:colFirst="0" w:colLast="0"/>
      <w:bookmarkEnd w:id="6"/>
      <w:r>
        <w:rPr>
          <w:b w:val="0"/>
          <w:bCs w:val="0"/>
          <w:i w:val="0"/>
          <w:iCs w:val="0"/>
          <w:color w:val="666666"/>
        </w:rPr>
        <w:t>B1.5 Gap metrics per archetype</w:t>
      </w:r>
    </w:p>
    <w:p w14:paraId="315B3A50" w14:textId="77777777" w:rsidR="00E85880" w:rsidRDefault="00000000">
      <w:pPr>
        <w:ind w:left="0" w:firstLine="0"/>
        <w:rPr>
          <w:rFonts w:ascii="Roboto Mono" w:eastAsia="Roboto Mono" w:hAnsi="Roboto Mono" w:cs="Roboto Mono"/>
          <w:color w:val="188038"/>
          <w:sz w:val="18"/>
          <w:szCs w:val="18"/>
        </w:rPr>
      </w:pPr>
      <w:r>
        <w:rPr>
          <w:color w:val="188038"/>
        </w:rPr>
        <w:t></w:t>
      </w:r>
      <w:r>
        <w:rPr>
          <w:rFonts w:ascii="Nova Mono" w:eastAsia="Nova Mono" w:hAnsi="Nova Mono" w:cs="Nova Mono"/>
          <w:color w:val="188038"/>
          <w:sz w:val="18"/>
          <w:szCs w:val="18"/>
        </w:rPr>
        <w:t>Depth Gap          DG  = log1p(median_competitor_count) − log1p(staples_count)</w:t>
      </w:r>
    </w:p>
    <w:p w14:paraId="13D8DAAB"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Coverage Ratio     CR  = staples_count / median_competitor_count</w:t>
      </w:r>
    </w:p>
    <w:p w14:paraId="0149902A"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Price Position Gap PPG = Wasserstein-1 distance between log-price distributions</w:t>
      </w:r>
    </w:p>
    <w:p w14:paraId="7E2C5E04"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 xml:space="preserve">                         (Staples vs panel) within the archetype</w:t>
      </w:r>
    </w:p>
    <w:p w14:paraId="071FB997" w14:textId="77777777" w:rsidR="00E85880" w:rsidRDefault="00000000">
      <w:pPr>
        <w:ind w:left="0" w:firstLine="0"/>
        <w:rPr>
          <w:rFonts w:ascii="Roboto Mono" w:eastAsia="Roboto Mono" w:hAnsi="Roboto Mono" w:cs="Roboto Mono"/>
          <w:color w:val="188038"/>
          <w:sz w:val="18"/>
          <w:szCs w:val="18"/>
        </w:rPr>
      </w:pPr>
      <w:r>
        <w:rPr>
          <w:rFonts w:ascii="Nova Mono" w:eastAsia="Nova Mono" w:hAnsi="Nova Mono" w:cs="Nova Mono"/>
          <w:color w:val="188038"/>
          <w:sz w:val="18"/>
          <w:szCs w:val="18"/>
        </w:rPr>
        <w:t>Colorway Gap       CG  = comp_share(light/neutral colorway) − staples_share(same)</w:t>
      </w:r>
    </w:p>
    <w:p w14:paraId="671F97B7"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Brand Fragmentation HHI of manufacturer share within archetype</w:t>
      </w:r>
    </w:p>
    <w:p w14:paraId="420C3AB8"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 xml:space="preserve">                         (low HHI = fragmented = easy 3P seller recruitment)</w:t>
      </w:r>
    </w:p>
    <w:p w14:paraId="6A358C9E" w14:textId="77777777" w:rsidR="00E85880" w:rsidRDefault="00000000">
      <w:pPr>
        <w:ind w:left="0" w:firstLine="0"/>
        <w:rPr>
          <w:rFonts w:ascii="Roboto Mono" w:eastAsia="Roboto Mono" w:hAnsi="Roboto Mono" w:cs="Roboto Mono"/>
          <w:color w:val="188038"/>
          <w:sz w:val="18"/>
          <w:szCs w:val="18"/>
        </w:rPr>
      </w:pPr>
      <w:r>
        <w:rPr>
          <w:rFonts w:ascii="Nova Mono" w:eastAsia="Nova Mono" w:hAnsi="Nova Mono" w:cs="Nova Mono"/>
          <w:color w:val="188038"/>
          <w:sz w:val="18"/>
          <w:szCs w:val="18"/>
        </w:rPr>
        <w:t>Design-Forward Gap DFG = median_comp_DFI − median_staples_DFI</w:t>
      </w:r>
    </w:p>
    <w:p w14:paraId="23607932" w14:textId="77777777" w:rsidR="00E85880" w:rsidRDefault="00E85880">
      <w:pPr>
        <w:ind w:left="0" w:firstLine="0"/>
        <w:rPr>
          <w:rFonts w:ascii="Roboto Mono" w:eastAsia="Roboto Mono" w:hAnsi="Roboto Mono" w:cs="Roboto Mono"/>
          <w:color w:val="188038"/>
          <w:sz w:val="18"/>
          <w:szCs w:val="18"/>
        </w:rPr>
      </w:pPr>
    </w:p>
    <w:p w14:paraId="471626F0"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G = 0.35·pct(DG) + 0.25·pct(PPG) + 0.20·pct(CG) + 0.20·pct(DFG)</w:t>
      </w:r>
    </w:p>
    <w:p w14:paraId="37E0B2BC" w14:textId="77777777" w:rsidR="00E85880" w:rsidRDefault="00000000">
      <w:pPr>
        <w:widowControl w:val="0"/>
        <w:ind w:left="0" w:firstLine="0"/>
      </w:pPr>
      <w:r>
        <w:rPr>
          <w:color w:val="188038"/>
        </w:rPr>
        <w:t></w:t>
      </w:r>
    </w:p>
    <w:p w14:paraId="42359F34" w14:textId="77777777" w:rsidR="00E85880" w:rsidRDefault="00000000">
      <w:pPr>
        <w:ind w:left="0" w:firstLine="0"/>
      </w:pPr>
      <w:r>
        <w:rPr>
          <w:rFonts w:ascii="Roboto Mono" w:eastAsia="Roboto Mono" w:hAnsi="Roboto Mono" w:cs="Roboto Mono"/>
          <w:color w:val="188038"/>
        </w:rPr>
        <w:t>Colorway Gap</w:t>
      </w:r>
      <w:r>
        <w:t xml:space="preserve"> and </w:t>
      </w:r>
      <w:r>
        <w:rPr>
          <w:rFonts w:ascii="Roboto Mono" w:eastAsia="Roboto Mono" w:hAnsi="Roboto Mono" w:cs="Roboto Mono"/>
          <w:color w:val="188038"/>
        </w:rPr>
        <w:t>Design-Forward Gap</w:t>
      </w:r>
      <w:r>
        <w:t xml:space="preserve"> exist specifically because Pat described his thesis in those terms. Giving him his own hypothesis back as a measured quantity is the point of the exercise.</w:t>
      </w:r>
    </w:p>
    <w:p w14:paraId="1E295D9E" w14:textId="77777777" w:rsidR="00E85880" w:rsidRDefault="00E85880">
      <w:pPr>
        <w:ind w:left="0" w:firstLine="0"/>
      </w:pPr>
    </w:p>
    <w:p w14:paraId="33F93411" w14:textId="77777777" w:rsidR="00E85880" w:rsidRDefault="00000000">
      <w:pPr>
        <w:ind w:left="0" w:firstLine="0"/>
      </w:pPr>
      <w:r>
        <w:pict w14:anchorId="0B49FD12">
          <v:rect id="_x0000_i1026" style="width:0;height:1.5pt" o:hralign="center" o:hrstd="t" o:hr="t" fillcolor="#a0a0a0" stroked="f"/>
        </w:pict>
      </w:r>
    </w:p>
    <w:p w14:paraId="7A4F3675" w14:textId="77777777" w:rsidR="00E85880" w:rsidRDefault="00000000">
      <w:pPr>
        <w:pStyle w:val="Heading2"/>
        <w:rPr>
          <w:b w:val="0"/>
          <w:bCs w:val="0"/>
          <w:u w:val="none"/>
        </w:rPr>
      </w:pPr>
      <w:bookmarkStart w:id="7" w:name="_xa8v21r9s6ty" w:colFirst="0" w:colLast="0"/>
      <w:bookmarkEnd w:id="7"/>
      <w:r>
        <w:rPr>
          <w:b w:val="0"/>
          <w:bCs w:val="0"/>
          <w:u w:val="none"/>
        </w:rPr>
        <w:t>Track C — Adjacency &amp; Cannibalization Engine</w:t>
      </w:r>
    </w:p>
    <w:p w14:paraId="4BE90EE1" w14:textId="77777777" w:rsidR="00E85880" w:rsidRDefault="00000000">
      <w:pPr>
        <w:ind w:left="0" w:firstLine="0"/>
      </w:pPr>
      <w:r>
        <w:t>This is cross-cutting: it scores every L3 archetype and every candidate SKU, and L1 recommendations too.</w:t>
      </w:r>
    </w:p>
    <w:p w14:paraId="46ECA8A0" w14:textId="77777777" w:rsidR="00E85880" w:rsidRDefault="00000000">
      <w:pPr>
        <w:pStyle w:val="Heading3"/>
        <w:rPr>
          <w:b w:val="0"/>
          <w:bCs w:val="0"/>
        </w:rPr>
      </w:pPr>
      <w:bookmarkStart w:id="8" w:name="_bmtvw27331xq" w:colFirst="0" w:colLast="0"/>
      <w:bookmarkEnd w:id="8"/>
      <w:r>
        <w:rPr>
          <w:b w:val="0"/>
          <w:bCs w:val="0"/>
        </w:rPr>
        <w:t>5.1 The core idea</w:t>
      </w:r>
    </w:p>
    <w:p w14:paraId="000DE8A2" w14:textId="77777777" w:rsidR="00E85880" w:rsidRDefault="00000000">
      <w:pPr>
        <w:ind w:left="0" w:firstLine="0"/>
      </w:pPr>
      <w:r>
        <w:t xml:space="preserve">Adjacency and cannibalization are computed from the same embedding space over the same 1P catalog, but with </w:t>
      </w:r>
      <w:r>
        <w:rPr>
          <w:b/>
          <w:bCs/>
        </w:rPr>
        <w:t>different pooling operations</w:t>
      </w:r>
      <w:r>
        <w:t>:</w:t>
      </w:r>
    </w:p>
    <w:p w14:paraId="30A22E8C" w14:textId="77777777" w:rsidR="00E85880" w:rsidRDefault="00E85880">
      <w:pPr>
        <w:widowControl w:val="0"/>
        <w:ind w:left="0" w:firstLine="0"/>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85880" w14:paraId="022D6FF7" w14:textId="77777777">
        <w:trPr>
          <w:tblHeader/>
        </w:trPr>
        <w:tc>
          <w:tcPr>
            <w:tcW w:w="3120" w:type="dxa"/>
            <w:tcMar>
              <w:top w:w="100" w:type="dxa"/>
              <w:left w:w="100" w:type="dxa"/>
              <w:bottom w:w="100" w:type="dxa"/>
              <w:right w:w="100" w:type="dxa"/>
            </w:tcMar>
          </w:tcPr>
          <w:p w14:paraId="58E08454" w14:textId="77777777" w:rsidR="00E85880" w:rsidRDefault="00E85880">
            <w:pPr>
              <w:ind w:left="0" w:firstLine="0"/>
              <w:rPr>
                <w:b/>
                <w:bCs/>
              </w:rPr>
            </w:pPr>
          </w:p>
        </w:tc>
        <w:tc>
          <w:tcPr>
            <w:tcW w:w="3120" w:type="dxa"/>
            <w:tcMar>
              <w:top w:w="100" w:type="dxa"/>
              <w:left w:w="100" w:type="dxa"/>
              <w:bottom w:w="100" w:type="dxa"/>
              <w:right w:w="100" w:type="dxa"/>
            </w:tcMar>
          </w:tcPr>
          <w:p w14:paraId="38417F54" w14:textId="77777777" w:rsidR="00E85880" w:rsidRDefault="00000000">
            <w:pPr>
              <w:ind w:left="0" w:firstLine="0"/>
              <w:rPr>
                <w:b/>
                <w:bCs/>
              </w:rPr>
            </w:pPr>
            <w:r>
              <w:rPr>
                <w:b/>
                <w:bCs/>
              </w:rPr>
              <w:t>Operation</w:t>
            </w:r>
          </w:p>
        </w:tc>
        <w:tc>
          <w:tcPr>
            <w:tcW w:w="3120" w:type="dxa"/>
            <w:tcMar>
              <w:top w:w="100" w:type="dxa"/>
              <w:left w:w="100" w:type="dxa"/>
              <w:bottom w:w="100" w:type="dxa"/>
              <w:right w:w="100" w:type="dxa"/>
            </w:tcMar>
          </w:tcPr>
          <w:p w14:paraId="43BE9A2C" w14:textId="77777777" w:rsidR="00E85880" w:rsidRDefault="00000000">
            <w:pPr>
              <w:ind w:left="0" w:firstLine="0"/>
              <w:rPr>
                <w:b/>
                <w:bCs/>
              </w:rPr>
            </w:pPr>
            <w:r>
              <w:rPr>
                <w:b/>
                <w:bCs/>
              </w:rPr>
              <w:t>Intuition</w:t>
            </w:r>
          </w:p>
        </w:tc>
      </w:tr>
      <w:tr w:rsidR="00E85880" w14:paraId="0BA7751D" w14:textId="77777777">
        <w:tc>
          <w:tcPr>
            <w:tcW w:w="3120" w:type="dxa"/>
            <w:tcMar>
              <w:top w:w="100" w:type="dxa"/>
              <w:left w:w="100" w:type="dxa"/>
              <w:bottom w:w="100" w:type="dxa"/>
              <w:right w:w="100" w:type="dxa"/>
            </w:tcMar>
          </w:tcPr>
          <w:p w14:paraId="242D1260" w14:textId="77777777" w:rsidR="00E85880" w:rsidRDefault="00000000">
            <w:pPr>
              <w:ind w:left="0" w:firstLine="0"/>
            </w:pPr>
            <w:r>
              <w:rPr>
                <w:b/>
                <w:bCs/>
              </w:rPr>
              <w:t>Cannibalization</w:t>
            </w:r>
          </w:p>
        </w:tc>
        <w:tc>
          <w:tcPr>
            <w:tcW w:w="3120" w:type="dxa"/>
            <w:tcMar>
              <w:top w:w="100" w:type="dxa"/>
              <w:left w:w="100" w:type="dxa"/>
              <w:bottom w:w="100" w:type="dxa"/>
              <w:right w:w="100" w:type="dxa"/>
            </w:tcMar>
          </w:tcPr>
          <w:p w14:paraId="7026B6D4" w14:textId="77777777" w:rsidR="00E85880" w:rsidRDefault="00000000">
            <w:pPr>
              <w:ind w:left="0" w:firstLine="0"/>
            </w:pPr>
            <w:r>
              <w:rPr>
                <w:b/>
                <w:bCs/>
              </w:rPr>
              <w:t>max-pool</w:t>
            </w:r>
            <w:r>
              <w:t xml:space="preserve"> (or mean of top-3) over 1P listings within the same L2b</w:t>
            </w:r>
          </w:p>
        </w:tc>
        <w:tc>
          <w:tcPr>
            <w:tcW w:w="3120" w:type="dxa"/>
            <w:tcMar>
              <w:top w:w="100" w:type="dxa"/>
              <w:left w:w="100" w:type="dxa"/>
              <w:bottom w:w="100" w:type="dxa"/>
              <w:right w:w="100" w:type="dxa"/>
            </w:tcMar>
          </w:tcPr>
          <w:p w14:paraId="1840DE93" w14:textId="77777777" w:rsidR="00E85880" w:rsidRDefault="00000000">
            <w:pPr>
              <w:ind w:left="0" w:firstLine="0"/>
            </w:pPr>
            <w:r>
              <w:t xml:space="preserve">"Is there a </w:t>
            </w:r>
            <w:r>
              <w:rPr>
                <w:i/>
                <w:iCs/>
              </w:rPr>
              <w:t>specific</w:t>
            </w:r>
            <w:r>
              <w:t xml:space="preserve"> Staples product this replaces?" A single close match is enough to be dangerous</w:t>
            </w:r>
          </w:p>
        </w:tc>
      </w:tr>
      <w:tr w:rsidR="00E85880" w14:paraId="1E381305" w14:textId="77777777">
        <w:tc>
          <w:tcPr>
            <w:tcW w:w="3120" w:type="dxa"/>
            <w:tcMar>
              <w:top w:w="100" w:type="dxa"/>
              <w:left w:w="100" w:type="dxa"/>
              <w:bottom w:w="100" w:type="dxa"/>
              <w:right w:w="100" w:type="dxa"/>
            </w:tcMar>
          </w:tcPr>
          <w:p w14:paraId="3244867E" w14:textId="77777777" w:rsidR="00E85880" w:rsidRDefault="00000000">
            <w:pPr>
              <w:ind w:left="0" w:firstLine="0"/>
            </w:pPr>
            <w:r>
              <w:rPr>
                <w:b/>
                <w:bCs/>
              </w:rPr>
              <w:t>Adjacency</w:t>
            </w:r>
          </w:p>
        </w:tc>
        <w:tc>
          <w:tcPr>
            <w:tcW w:w="3120" w:type="dxa"/>
            <w:tcMar>
              <w:top w:w="100" w:type="dxa"/>
              <w:left w:w="100" w:type="dxa"/>
              <w:bottom w:w="100" w:type="dxa"/>
              <w:right w:w="100" w:type="dxa"/>
            </w:tcMar>
          </w:tcPr>
          <w:p w14:paraId="09E86904" w14:textId="77777777" w:rsidR="00E85880" w:rsidRDefault="00000000">
            <w:pPr>
              <w:ind w:left="0" w:firstLine="0"/>
            </w:pPr>
            <w:r>
              <w:rPr>
                <w:b/>
                <w:bCs/>
              </w:rPr>
              <w:t>mean-pool</w:t>
            </w:r>
            <w:r>
              <w:t xml:space="preserve"> over the top-50 most similar 1P listings, across the whole catalog</w:t>
            </w:r>
          </w:p>
        </w:tc>
        <w:tc>
          <w:tcPr>
            <w:tcW w:w="3120" w:type="dxa"/>
            <w:tcMar>
              <w:top w:w="100" w:type="dxa"/>
              <w:left w:w="100" w:type="dxa"/>
              <w:bottom w:w="100" w:type="dxa"/>
              <w:right w:w="100" w:type="dxa"/>
            </w:tcMar>
          </w:tcPr>
          <w:p w14:paraId="34117EBE" w14:textId="77777777" w:rsidR="00E85880" w:rsidRDefault="00000000">
            <w:pPr>
              <w:ind w:left="0" w:firstLine="0"/>
            </w:pPr>
            <w:r>
              <w:t xml:space="preserve">"Does this sit </w:t>
            </w:r>
            <w:r>
              <w:rPr>
                <w:i/>
                <w:iCs/>
              </w:rPr>
              <w:t>inside</w:t>
            </w:r>
            <w:r>
              <w:t xml:space="preserve"> the region of space Staples occupies?" No single product needs to be close; the neighbourhood does</w:t>
            </w:r>
          </w:p>
        </w:tc>
      </w:tr>
    </w:tbl>
    <w:p w14:paraId="683E720B" w14:textId="77777777" w:rsidR="00E85880" w:rsidRDefault="00E85880">
      <w:pPr>
        <w:widowControl w:val="0"/>
        <w:ind w:left="0" w:firstLine="0"/>
      </w:pPr>
    </w:p>
    <w:p w14:paraId="3EA9F7EC" w14:textId="77777777" w:rsidR="00E85880" w:rsidRDefault="00000000">
      <w:pPr>
        <w:ind w:left="0" w:firstLine="0"/>
      </w:pPr>
      <w:r>
        <w:t xml:space="preserve">This produces exactly the behaviour Pat's brief requires. A white boucle accent chair has high adjacency (its whole neighbourhood is office seating) and low cannibalization (no individual Staples chair is close). A branded coffee mug has low adjacency and low cannibalization — off-brand, correctly rejected. A slightly different black mesh task chair has high adjacency </w:t>
      </w:r>
      <w:r>
        <w:rPr>
          <w:i/>
          <w:iCs/>
        </w:rPr>
        <w:t>and</w:t>
      </w:r>
      <w:r>
        <w:t xml:space="preserve"> high cannibalization — correctly rejected as a substitute.</w:t>
      </w:r>
    </w:p>
    <w:p w14:paraId="1998F01A" w14:textId="77777777" w:rsidR="00E85880" w:rsidRDefault="00000000">
      <w:pPr>
        <w:pStyle w:val="Heading3"/>
        <w:rPr>
          <w:b w:val="0"/>
          <w:bCs w:val="0"/>
        </w:rPr>
      </w:pPr>
      <w:bookmarkStart w:id="9" w:name="_wgrohezdc3cm" w:colFirst="0" w:colLast="0"/>
      <w:bookmarkEnd w:id="9"/>
      <w:r>
        <w:rPr>
          <w:b w:val="0"/>
          <w:bCs w:val="0"/>
        </w:rPr>
        <w:t>5.2 Adjacency Affinity Score (AAS)</w:t>
      </w:r>
    </w:p>
    <w:p w14:paraId="1B3FE758" w14:textId="77777777" w:rsidR="00E85880" w:rsidRDefault="00000000">
      <w:pPr>
        <w:ind w:left="0" w:firstLine="0"/>
      </w:pPr>
      <w:r>
        <w:t xml:space="preserve">Two independent components, blended. Using both matters: embedding adjacency captures </w:t>
      </w:r>
      <w:r>
        <w:rPr>
          <w:i/>
          <w:iCs/>
        </w:rPr>
        <w:t>product</w:t>
      </w:r>
      <w:r>
        <w:t xml:space="preserve"> similarity, graph adjacency captures </w:t>
      </w:r>
      <w:r>
        <w:rPr>
          <w:i/>
          <w:iCs/>
        </w:rPr>
        <w:t>purchase-context</w:t>
      </w:r>
      <w:r>
        <w:t xml:space="preserve"> similarity, and they disagree in informative ways.</w:t>
      </w:r>
    </w:p>
    <w:p w14:paraId="7D9AE2E5" w14:textId="77777777" w:rsidR="00E85880" w:rsidRDefault="00E85880">
      <w:pPr>
        <w:widowControl w:val="0"/>
        <w:ind w:left="0" w:firstLine="0"/>
      </w:pPr>
    </w:p>
    <w:p w14:paraId="39FF79C8" w14:textId="77777777" w:rsidR="00E85880" w:rsidRDefault="00000000">
      <w:pPr>
        <w:ind w:left="0" w:firstLine="0"/>
        <w:rPr>
          <w:rFonts w:ascii="Roboto Mono" w:eastAsia="Roboto Mono" w:hAnsi="Roboto Mono" w:cs="Roboto Mono"/>
          <w:color w:val="188038"/>
          <w:sz w:val="18"/>
          <w:szCs w:val="18"/>
        </w:rPr>
      </w:pPr>
      <w:r>
        <w:rPr>
          <w:color w:val="188038"/>
        </w:rPr>
        <w:lastRenderedPageBreak/>
        <w:t></w:t>
      </w:r>
      <w:r>
        <w:rPr>
          <w:rFonts w:ascii="Roboto Mono" w:eastAsia="Roboto Mono" w:hAnsi="Roboto Mono" w:cs="Roboto Mono"/>
          <w:color w:val="188038"/>
          <w:sz w:val="18"/>
          <w:szCs w:val="18"/>
        </w:rPr>
        <w:t>Semantic adjacency:</w:t>
      </w:r>
    </w:p>
    <w:p w14:paraId="18EFBA9C"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 xml:space="preserve">  A_sem = mean( top-50 cosine(c, s) for s in ALL Staples 1P listings )</w:t>
      </w:r>
    </w:p>
    <w:p w14:paraId="3FD6BB0E" w14:textId="77777777" w:rsidR="00E85880" w:rsidRDefault="00E85880">
      <w:pPr>
        <w:ind w:left="0" w:firstLine="0"/>
        <w:rPr>
          <w:rFonts w:ascii="Roboto Mono" w:eastAsia="Roboto Mono" w:hAnsi="Roboto Mono" w:cs="Roboto Mono"/>
          <w:color w:val="188038"/>
          <w:sz w:val="18"/>
          <w:szCs w:val="18"/>
        </w:rPr>
      </w:pPr>
    </w:p>
    <w:p w14:paraId="2BD2CD65"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Contextual adjacency:</w:t>
      </w:r>
    </w:p>
    <w:p w14:paraId="511E7634"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 xml:space="preserve">  A_ctx = personalised PageRank mass reaching c</w:t>
      </w:r>
    </w:p>
    <w:p w14:paraId="18A992EB"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 xml:space="preserve">          on the B2 COMPLEMENT graph, restarting from Staples-carried nodes</w:t>
      </w:r>
    </w:p>
    <w:p w14:paraId="3C75F5AC" w14:textId="77777777" w:rsidR="00E85880" w:rsidRDefault="00E85880">
      <w:pPr>
        <w:ind w:left="0" w:firstLine="0"/>
        <w:rPr>
          <w:rFonts w:ascii="Roboto Mono" w:eastAsia="Roboto Mono" w:hAnsi="Roboto Mono" w:cs="Roboto Mono"/>
          <w:color w:val="188038"/>
          <w:sz w:val="18"/>
          <w:szCs w:val="18"/>
        </w:rPr>
      </w:pPr>
    </w:p>
    <w:p w14:paraId="145E9916"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JTBD overlap:</w:t>
      </w:r>
    </w:p>
    <w:p w14:paraId="0C238D0E"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 xml:space="preserve">  A_jtbd = Jaccard( jtbd_tags(c), union of jtbd_tags across Staples L2 )</w:t>
      </w:r>
    </w:p>
    <w:p w14:paraId="4AE6FE12" w14:textId="77777777" w:rsidR="00E85880" w:rsidRDefault="00E85880">
      <w:pPr>
        <w:ind w:left="0" w:firstLine="0"/>
        <w:rPr>
          <w:rFonts w:ascii="Roboto Mono" w:eastAsia="Roboto Mono" w:hAnsi="Roboto Mono" w:cs="Roboto Mono"/>
          <w:color w:val="188038"/>
          <w:sz w:val="18"/>
          <w:szCs w:val="18"/>
        </w:rPr>
      </w:pPr>
    </w:p>
    <w:p w14:paraId="1AADC3EB"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AAS = 100 × ( 0.45·pct(A_sem) + 0.35·pct(A_ctx) + 0.20·A_jtbd )</w:t>
      </w:r>
    </w:p>
    <w:p w14:paraId="1741DDDF" w14:textId="77777777" w:rsidR="00E85880" w:rsidRDefault="00000000">
      <w:pPr>
        <w:widowControl w:val="0"/>
        <w:ind w:left="0" w:firstLine="0"/>
      </w:pPr>
      <w:r>
        <w:rPr>
          <w:color w:val="188038"/>
        </w:rPr>
        <w:t></w:t>
      </w:r>
    </w:p>
    <w:p w14:paraId="54E98323" w14:textId="77777777" w:rsidR="00E85880" w:rsidRDefault="00000000">
      <w:pPr>
        <w:ind w:left="0" w:firstLine="0"/>
      </w:pPr>
      <w:r>
        <w:t>Percentiles computed within the L1 peer group.</w:t>
      </w:r>
    </w:p>
    <w:p w14:paraId="1D58A85D" w14:textId="77777777" w:rsidR="00E85880" w:rsidRDefault="00000000">
      <w:pPr>
        <w:pStyle w:val="Heading3"/>
        <w:rPr>
          <w:b w:val="0"/>
          <w:bCs w:val="0"/>
        </w:rPr>
      </w:pPr>
      <w:bookmarkStart w:id="10" w:name="_ne3btut2sxw0" w:colFirst="0" w:colLast="0"/>
      <w:bookmarkEnd w:id="10"/>
      <w:r>
        <w:rPr>
          <w:b w:val="0"/>
          <w:bCs w:val="0"/>
        </w:rPr>
        <w:t>5.3 Cannibalization Risk Score (CRS)</w:t>
      </w:r>
    </w:p>
    <w:p w14:paraId="6D3FB8AC" w14:textId="77777777" w:rsidR="00E85880" w:rsidRDefault="00000000">
      <w:pPr>
        <w:ind w:left="0" w:firstLine="0"/>
        <w:rPr>
          <w:rFonts w:ascii="Roboto Mono" w:eastAsia="Roboto Mono" w:hAnsi="Roboto Mono" w:cs="Roboto Mono"/>
          <w:color w:val="188038"/>
          <w:sz w:val="18"/>
          <w:szCs w:val="18"/>
        </w:rPr>
      </w:pPr>
      <w:r>
        <w:rPr>
          <w:color w:val="188038"/>
        </w:rPr>
        <w:t></w:t>
      </w:r>
      <w:r>
        <w:rPr>
          <w:rFonts w:ascii="Roboto Mono" w:eastAsia="Roboto Mono" w:hAnsi="Roboto Mono" w:cs="Roboto Mono"/>
          <w:color w:val="188038"/>
          <w:sz w:val="18"/>
          <w:szCs w:val="18"/>
        </w:rPr>
        <w:t>Nearest-neighbour similarity, restricted to same L2b:</w:t>
      </w:r>
    </w:p>
    <w:p w14:paraId="409C83DD"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 xml:space="preserve">  S_max = mean of top-3 cosine(c, s) for s in Staples_1P[same L2b]</w:t>
      </w:r>
    </w:p>
    <w:p w14:paraId="4F7B85FB"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 xml:space="preserve">  (top-3 mean, not top-1, to avoid a single mislabelled listing driving the verdict)</w:t>
      </w:r>
    </w:p>
    <w:p w14:paraId="50CFE013" w14:textId="77777777" w:rsidR="00E85880" w:rsidRDefault="00E85880">
      <w:pPr>
        <w:ind w:left="0" w:firstLine="0"/>
        <w:rPr>
          <w:rFonts w:ascii="Roboto Mono" w:eastAsia="Roboto Mono" w:hAnsi="Roboto Mono" w:cs="Roboto Mono"/>
          <w:color w:val="188038"/>
          <w:sz w:val="18"/>
          <w:szCs w:val="18"/>
        </w:rPr>
      </w:pPr>
    </w:p>
    <w:p w14:paraId="51D41656"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Symmetric price proximity (replaces Teja's asymmetric ratio):</w:t>
      </w:r>
    </w:p>
    <w:p w14:paraId="5069CE7D" w14:textId="77777777" w:rsidR="00E85880" w:rsidRDefault="00000000">
      <w:pPr>
        <w:ind w:left="0" w:firstLine="0"/>
        <w:rPr>
          <w:rFonts w:ascii="Roboto Mono" w:eastAsia="Roboto Mono" w:hAnsi="Roboto Mono" w:cs="Roboto Mono"/>
          <w:color w:val="188038"/>
          <w:sz w:val="18"/>
          <w:szCs w:val="18"/>
        </w:rPr>
      </w:pPr>
      <w:r>
        <w:rPr>
          <w:rFonts w:ascii="Nova Mono" w:eastAsia="Nova Mono" w:hAnsi="Nova Mono" w:cs="Nova Mono"/>
          <w:color w:val="188038"/>
          <w:sz w:val="18"/>
          <w:szCs w:val="18"/>
        </w:rPr>
        <w:t xml:space="preserve">  po = max( 0, 1 − |ln(p_c / p_s*)| / ln(1.5) )</w:t>
      </w:r>
    </w:p>
    <w:p w14:paraId="062364CF" w14:textId="77777777" w:rsidR="00E85880" w:rsidRDefault="00000000">
      <w:pPr>
        <w:ind w:left="0" w:firstLine="0"/>
        <w:rPr>
          <w:rFonts w:ascii="Roboto Mono" w:eastAsia="Roboto Mono" w:hAnsi="Roboto Mono" w:cs="Roboto Mono"/>
          <w:color w:val="188038"/>
          <w:sz w:val="18"/>
          <w:szCs w:val="18"/>
        </w:rPr>
      </w:pPr>
      <w:r>
        <w:rPr>
          <w:rFonts w:ascii="Nova Mono" w:eastAsia="Nova Mono" w:hAnsi="Nova Mono" w:cs="Nova Mono"/>
          <w:color w:val="188038"/>
          <w:sz w:val="18"/>
          <w:szCs w:val="18"/>
        </w:rPr>
        <w:t xml:space="preserve">  → po = 1.0 at identical price, 0.0 at ≥50% apart, symmetric in both directions</w:t>
      </w:r>
    </w:p>
    <w:p w14:paraId="16DF130C" w14:textId="77777777" w:rsidR="00E85880" w:rsidRDefault="00E85880">
      <w:pPr>
        <w:ind w:left="0" w:firstLine="0"/>
        <w:rPr>
          <w:rFonts w:ascii="Roboto Mono" w:eastAsia="Roboto Mono" w:hAnsi="Roboto Mono" w:cs="Roboto Mono"/>
          <w:color w:val="188038"/>
          <w:sz w:val="18"/>
          <w:szCs w:val="18"/>
        </w:rPr>
      </w:pPr>
    </w:p>
    <w:p w14:paraId="06EA6F88"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Form-factor identity:</w:t>
      </w:r>
    </w:p>
    <w:p w14:paraId="6AC56269"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 xml:space="preserve">  ff = 1 if same form_factor AND same mechanism, else 0</w:t>
      </w:r>
    </w:p>
    <w:p w14:paraId="315D4437" w14:textId="77777777" w:rsidR="00E85880" w:rsidRDefault="00E85880">
      <w:pPr>
        <w:ind w:left="0" w:firstLine="0"/>
        <w:rPr>
          <w:rFonts w:ascii="Roboto Mono" w:eastAsia="Roboto Mono" w:hAnsi="Roboto Mono" w:cs="Roboto Mono"/>
          <w:color w:val="188038"/>
          <w:sz w:val="18"/>
          <w:szCs w:val="18"/>
        </w:rPr>
      </w:pPr>
    </w:p>
    <w:p w14:paraId="620EC560"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Substitution-graph corroboration (free, from B2):</w:t>
      </w:r>
    </w:p>
    <w:p w14:paraId="6BB6D415"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 xml:space="preserve">  sub = 1 if c appears in the "also viewed / compare similar" widget</w:t>
      </w:r>
    </w:p>
    <w:p w14:paraId="5FF30C28"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 xml:space="preserve">        of any Staples 1P listing, else 0</w:t>
      </w:r>
    </w:p>
    <w:p w14:paraId="0A265558" w14:textId="77777777" w:rsidR="00E85880" w:rsidRDefault="00E85880">
      <w:pPr>
        <w:ind w:left="0" w:firstLine="0"/>
        <w:rPr>
          <w:rFonts w:ascii="Roboto Mono" w:eastAsia="Roboto Mono" w:hAnsi="Roboto Mono" w:cs="Roboto Mono"/>
          <w:color w:val="188038"/>
          <w:sz w:val="18"/>
          <w:szCs w:val="18"/>
        </w:rPr>
      </w:pPr>
    </w:p>
    <w:p w14:paraId="7BA4B947"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CRS = 100 × ( 0.45·pct(S_max) + 0.25·po + 0.15·ff + 0.15·sub )</w:t>
      </w:r>
    </w:p>
    <w:p w14:paraId="7964CE5A" w14:textId="77777777" w:rsidR="00E85880" w:rsidRDefault="00000000">
      <w:pPr>
        <w:widowControl w:val="0"/>
        <w:ind w:left="0" w:firstLine="0"/>
      </w:pPr>
      <w:r>
        <w:rPr>
          <w:color w:val="188038"/>
        </w:rPr>
        <w:t></w:t>
      </w:r>
    </w:p>
    <w:p w14:paraId="2B4D52C0" w14:textId="77777777" w:rsidR="00E85880" w:rsidRDefault="00000000">
      <w:pPr>
        <w:ind w:left="0" w:firstLine="0"/>
      </w:pPr>
      <w:r>
        <w:t xml:space="preserve">The </w:t>
      </w:r>
      <w:r>
        <w:rPr>
          <w:rFonts w:ascii="Roboto Mono" w:eastAsia="Roboto Mono" w:hAnsi="Roboto Mono" w:cs="Roboto Mono"/>
          <w:color w:val="188038"/>
        </w:rPr>
        <w:t>sub</w:t>
      </w:r>
      <w:r>
        <w:t xml:space="preserve"> term is worth its weight. An independent, behaviourally-derived substitution signal costs nothing extra because the B2 harvest already collected it, and it guards against embedding-space artefacts.</w:t>
      </w:r>
    </w:p>
    <w:p w14:paraId="506C538F" w14:textId="77777777" w:rsidR="00E85880" w:rsidRDefault="00000000">
      <w:pPr>
        <w:pStyle w:val="Heading3"/>
        <w:rPr>
          <w:b w:val="0"/>
          <w:bCs w:val="0"/>
        </w:rPr>
      </w:pPr>
      <w:bookmarkStart w:id="11" w:name="_ftccqrwh9ioi" w:colFirst="0" w:colLast="0"/>
      <w:bookmarkEnd w:id="11"/>
      <w:r>
        <w:rPr>
          <w:b w:val="0"/>
          <w:bCs w:val="0"/>
        </w:rPr>
        <w:t>5.3b Price Position Ratio (PPR) — the third dimension</w:t>
      </w:r>
    </w:p>
    <w:p w14:paraId="66CE7D8C" w14:textId="77777777" w:rsidR="00E85880" w:rsidRDefault="00000000">
      <w:pPr>
        <w:ind w:left="0" w:firstLine="0"/>
      </w:pPr>
      <w:r>
        <w:t>CRS deliberately folds price into a single proximity term (</w:t>
      </w:r>
      <w:r>
        <w:rPr>
          <w:rFonts w:ascii="Roboto Mono" w:eastAsia="Roboto Mono" w:hAnsi="Roboto Mono" w:cs="Roboto Mono"/>
          <w:color w:val="188038"/>
        </w:rPr>
        <w:t>po</w:t>
      </w:r>
      <w:r>
        <w:t xml:space="preserve">), which is correct for measuring </w:t>
      </w:r>
      <w:r>
        <w:rPr>
          <w:i/>
          <w:iCs/>
        </w:rPr>
        <w:t>risk</w:t>
      </w:r>
      <w:r>
        <w:t xml:space="preserve">. But risk is not direction: a candidate priced at 0.6× the nearest 1P SKU and one priced at 1.8× produce a similar </w:t>
      </w:r>
      <w:r>
        <w:rPr>
          <w:rFonts w:ascii="Roboto Mono" w:eastAsia="Roboto Mono" w:hAnsi="Roboto Mono" w:cs="Roboto Mono"/>
          <w:color w:val="188038"/>
        </w:rPr>
        <w:t>po</w:t>
      </w:r>
      <w:r>
        <w:t xml:space="preserve"> and therefore a similar CRS, yet they are opposite commercial events. One deflates the category, the other grows basket value. Direction has to be carried separately.</w:t>
      </w:r>
    </w:p>
    <w:p w14:paraId="1AB35394" w14:textId="77777777" w:rsidR="00E85880" w:rsidRDefault="00E85880">
      <w:pPr>
        <w:widowControl w:val="0"/>
        <w:ind w:left="0" w:firstLine="0"/>
      </w:pPr>
    </w:p>
    <w:p w14:paraId="6C9A27EF" w14:textId="77777777" w:rsidR="00E85880" w:rsidRDefault="00000000">
      <w:pPr>
        <w:ind w:left="0" w:firstLine="0"/>
        <w:rPr>
          <w:rFonts w:ascii="Roboto Mono" w:eastAsia="Roboto Mono" w:hAnsi="Roboto Mono" w:cs="Roboto Mono"/>
          <w:color w:val="188038"/>
          <w:sz w:val="18"/>
          <w:szCs w:val="18"/>
        </w:rPr>
      </w:pPr>
      <w:r>
        <w:rPr>
          <w:color w:val="188038"/>
        </w:rPr>
        <w:t></w:t>
      </w:r>
      <w:r>
        <w:rPr>
          <w:rFonts w:ascii="Roboto Mono" w:eastAsia="Roboto Mono" w:hAnsi="Roboto Mono" w:cs="Roboto Mono"/>
          <w:color w:val="188038"/>
          <w:sz w:val="18"/>
          <w:szCs w:val="18"/>
        </w:rPr>
        <w:t>PPR = price_candidate / price_nearest_1P_match       (log scale for all maths)</w:t>
      </w:r>
    </w:p>
    <w:p w14:paraId="70FAED7D" w14:textId="77777777" w:rsidR="00E85880" w:rsidRDefault="00E85880">
      <w:pPr>
        <w:ind w:left="0" w:firstLine="0"/>
        <w:rPr>
          <w:rFonts w:ascii="Roboto Mono" w:eastAsia="Roboto Mono" w:hAnsi="Roboto Mono" w:cs="Roboto Mono"/>
          <w:color w:val="188038"/>
          <w:sz w:val="18"/>
          <w:szCs w:val="18"/>
        </w:rPr>
      </w:pPr>
    </w:p>
    <w:p w14:paraId="6575C361" w14:textId="77777777" w:rsidR="00E85880" w:rsidRDefault="00000000">
      <w:pPr>
        <w:ind w:left="0" w:firstLine="0"/>
        <w:rPr>
          <w:rFonts w:ascii="Roboto Mono" w:eastAsia="Roboto Mono" w:hAnsi="Roboto Mono" w:cs="Roboto Mono"/>
          <w:color w:val="188038"/>
          <w:sz w:val="18"/>
          <w:szCs w:val="18"/>
        </w:rPr>
      </w:pPr>
      <w:r>
        <w:rPr>
          <w:rFonts w:ascii="Nova Mono" w:eastAsia="Nova Mono" w:hAnsi="Nova Mono" w:cs="Nova Mono"/>
          <w:color w:val="188038"/>
          <w:sz w:val="18"/>
          <w:szCs w:val="18"/>
        </w:rPr>
        <w:t xml:space="preserve">  PPR ≥ 1.5        candidate sits materially above the 1P anchor  → trade-up territory</w:t>
      </w:r>
    </w:p>
    <w:p w14:paraId="71D53A86" w14:textId="77777777" w:rsidR="00E85880" w:rsidRDefault="00000000">
      <w:pPr>
        <w:ind w:left="0" w:firstLine="0"/>
        <w:rPr>
          <w:rFonts w:ascii="Roboto Mono" w:eastAsia="Roboto Mono" w:hAnsi="Roboto Mono" w:cs="Roboto Mono"/>
          <w:color w:val="188038"/>
          <w:sz w:val="18"/>
          <w:szCs w:val="18"/>
        </w:rPr>
      </w:pPr>
      <w:r>
        <w:rPr>
          <w:rFonts w:ascii="Nova Mono" w:eastAsia="Nova Mono" w:hAnsi="Nova Mono" w:cs="Nova Mono"/>
          <w:color w:val="188038"/>
          <w:sz w:val="18"/>
          <w:szCs w:val="18"/>
        </w:rPr>
        <w:t xml:space="preserve">  0.85 ≤ PPR &lt; 1.5 same effective price point                     → substitution territory</w:t>
      </w:r>
    </w:p>
    <w:p w14:paraId="1C33222A" w14:textId="77777777" w:rsidR="00E85880" w:rsidRDefault="00000000">
      <w:pPr>
        <w:ind w:left="0" w:firstLine="0"/>
        <w:rPr>
          <w:rFonts w:ascii="Roboto Mono" w:eastAsia="Roboto Mono" w:hAnsi="Roboto Mono" w:cs="Roboto Mono"/>
          <w:color w:val="188038"/>
          <w:sz w:val="18"/>
          <w:szCs w:val="18"/>
        </w:rPr>
      </w:pPr>
      <w:r>
        <w:rPr>
          <w:rFonts w:ascii="Nova Mono" w:eastAsia="Nova Mono" w:hAnsi="Nova Mono" w:cs="Nova Mono"/>
          <w:color w:val="188038"/>
          <w:sz w:val="18"/>
          <w:szCs w:val="18"/>
        </w:rPr>
        <w:t xml:space="preserve">  PPR &lt; 0.85       candidate undercuts the 1P anchor              → price-deflation territory</w:t>
      </w:r>
    </w:p>
    <w:p w14:paraId="70B265EB" w14:textId="77777777" w:rsidR="00E85880" w:rsidRDefault="00000000">
      <w:pPr>
        <w:widowControl w:val="0"/>
        <w:ind w:left="0" w:firstLine="0"/>
      </w:pPr>
      <w:r>
        <w:rPr>
          <w:color w:val="188038"/>
        </w:rPr>
        <w:t></w:t>
      </w:r>
    </w:p>
    <w:p w14:paraId="06FCDF36" w14:textId="77777777" w:rsidR="00E85880" w:rsidRDefault="00000000">
      <w:pPr>
        <w:ind w:left="0" w:firstLine="0"/>
      </w:pPr>
      <w:r>
        <w:t xml:space="preserve">PPR is </w:t>
      </w:r>
      <w:r>
        <w:rPr>
          <w:b/>
          <w:bCs/>
        </w:rPr>
        <w:t>not</w:t>
      </w:r>
      <w:r>
        <w:t xml:space="preserve"> a component of any composite score. It is a discrete band selector used only inside the decision surface. Keeping it out of the composite is deliberate: blending direction into a magnitude score would let a large price gap cancel out a genuine similarity problem.</w:t>
      </w:r>
    </w:p>
    <w:p w14:paraId="2E0BD164" w14:textId="77777777" w:rsidR="00E85880" w:rsidRDefault="00E85880">
      <w:pPr>
        <w:widowControl w:val="0"/>
        <w:ind w:left="0" w:firstLine="0"/>
      </w:pPr>
    </w:p>
    <w:p w14:paraId="166CBAB4" w14:textId="77777777" w:rsidR="00E85880" w:rsidRDefault="00000000">
      <w:pPr>
        <w:ind w:left="0" w:firstLine="0"/>
      </w:pPr>
      <w:r>
        <w:t>Band boundaries (1.5 and 0.85) are starting values and are set in the calibration session alongside the CRS and AAS thresholds.</w:t>
      </w:r>
    </w:p>
    <w:p w14:paraId="644348E8" w14:textId="77777777" w:rsidR="00E85880" w:rsidRDefault="00000000">
      <w:pPr>
        <w:pStyle w:val="Heading3"/>
        <w:rPr>
          <w:b w:val="0"/>
          <w:bCs w:val="0"/>
        </w:rPr>
      </w:pPr>
      <w:bookmarkStart w:id="12" w:name="_b7xx50mcy9w5" w:colFirst="0" w:colLast="0"/>
      <w:bookmarkEnd w:id="12"/>
      <w:r>
        <w:rPr>
          <w:b w:val="0"/>
          <w:bCs w:val="0"/>
        </w:rPr>
        <w:t>5.4 Decision surface — measurement layer and decision layer</w:t>
      </w:r>
    </w:p>
    <w:p w14:paraId="0450CAFF" w14:textId="77777777" w:rsidR="00E85880" w:rsidRDefault="00000000">
      <w:pPr>
        <w:ind w:left="0" w:firstLine="0"/>
      </w:pPr>
      <w:r>
        <w:t xml:space="preserve">Two frameworks were in play across the team's notes: the AAS/CRS 2×2 (§5.2–5.3) and the four-way substitute / whitespace / trade-up / irrelevant classification from the earlier brainstorm and Teja's Step 4. </w:t>
      </w:r>
      <w:r>
        <w:rPr>
          <w:b/>
          <w:bCs/>
        </w:rPr>
        <w:t>They are not alternatives. They are two layers of the same thing, and each fixes a hole in the other.</w:t>
      </w:r>
    </w:p>
    <w:p w14:paraId="2A883C87" w14:textId="77777777" w:rsidR="00E85880" w:rsidRDefault="00E85880">
      <w:pPr>
        <w:widowControl w:val="0"/>
        <w:ind w:left="0" w:firstLine="0"/>
      </w:pP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E85880" w14:paraId="1B0F5B51" w14:textId="77777777">
        <w:trPr>
          <w:tblHeader/>
        </w:trPr>
        <w:tc>
          <w:tcPr>
            <w:tcW w:w="2340" w:type="dxa"/>
            <w:tcMar>
              <w:top w:w="100" w:type="dxa"/>
              <w:left w:w="100" w:type="dxa"/>
              <w:bottom w:w="100" w:type="dxa"/>
              <w:right w:w="100" w:type="dxa"/>
            </w:tcMar>
          </w:tcPr>
          <w:p w14:paraId="4786E11B" w14:textId="77777777" w:rsidR="00E85880" w:rsidRDefault="00000000">
            <w:pPr>
              <w:ind w:left="0" w:firstLine="0"/>
              <w:rPr>
                <w:b/>
                <w:bCs/>
              </w:rPr>
            </w:pPr>
            <w:r>
              <w:rPr>
                <w:b/>
                <w:bCs/>
              </w:rPr>
              <w:t>Layer</w:t>
            </w:r>
          </w:p>
        </w:tc>
        <w:tc>
          <w:tcPr>
            <w:tcW w:w="2340" w:type="dxa"/>
            <w:tcMar>
              <w:top w:w="100" w:type="dxa"/>
              <w:left w:w="100" w:type="dxa"/>
              <w:bottom w:w="100" w:type="dxa"/>
              <w:right w:w="100" w:type="dxa"/>
            </w:tcMar>
          </w:tcPr>
          <w:p w14:paraId="1C76AF63" w14:textId="77777777" w:rsidR="00E85880" w:rsidRDefault="00000000">
            <w:pPr>
              <w:ind w:left="0" w:firstLine="0"/>
              <w:rPr>
                <w:b/>
                <w:bCs/>
              </w:rPr>
            </w:pPr>
            <w:r>
              <w:rPr>
                <w:b/>
                <w:bCs/>
              </w:rPr>
              <w:t>What it is</w:t>
            </w:r>
          </w:p>
        </w:tc>
        <w:tc>
          <w:tcPr>
            <w:tcW w:w="2340" w:type="dxa"/>
            <w:tcMar>
              <w:top w:w="100" w:type="dxa"/>
              <w:left w:w="100" w:type="dxa"/>
              <w:bottom w:w="100" w:type="dxa"/>
              <w:right w:w="100" w:type="dxa"/>
            </w:tcMar>
          </w:tcPr>
          <w:p w14:paraId="103335FF" w14:textId="77777777" w:rsidR="00E85880" w:rsidRDefault="00000000">
            <w:pPr>
              <w:ind w:left="0" w:firstLine="0"/>
              <w:rPr>
                <w:b/>
                <w:bCs/>
              </w:rPr>
            </w:pPr>
            <w:r>
              <w:rPr>
                <w:b/>
                <w:bCs/>
              </w:rPr>
              <w:t>Output</w:t>
            </w:r>
          </w:p>
        </w:tc>
        <w:tc>
          <w:tcPr>
            <w:tcW w:w="2340" w:type="dxa"/>
            <w:tcMar>
              <w:top w:w="100" w:type="dxa"/>
              <w:left w:w="100" w:type="dxa"/>
              <w:bottom w:w="100" w:type="dxa"/>
              <w:right w:w="100" w:type="dxa"/>
            </w:tcMar>
          </w:tcPr>
          <w:p w14:paraId="17AB20A0" w14:textId="77777777" w:rsidR="00E85880" w:rsidRDefault="00000000">
            <w:pPr>
              <w:ind w:left="0" w:firstLine="0"/>
              <w:rPr>
                <w:b/>
                <w:bCs/>
              </w:rPr>
            </w:pPr>
            <w:r>
              <w:rPr>
                <w:b/>
                <w:bCs/>
              </w:rPr>
              <w:t>Used for</w:t>
            </w:r>
          </w:p>
        </w:tc>
      </w:tr>
      <w:tr w:rsidR="00E85880" w14:paraId="4149B874" w14:textId="77777777">
        <w:tc>
          <w:tcPr>
            <w:tcW w:w="2340" w:type="dxa"/>
            <w:tcMar>
              <w:top w:w="100" w:type="dxa"/>
              <w:left w:w="100" w:type="dxa"/>
              <w:bottom w:w="100" w:type="dxa"/>
              <w:right w:w="100" w:type="dxa"/>
            </w:tcMar>
          </w:tcPr>
          <w:p w14:paraId="372EE6F4" w14:textId="77777777" w:rsidR="00E85880" w:rsidRDefault="00000000">
            <w:pPr>
              <w:ind w:left="0" w:firstLine="0"/>
            </w:pPr>
            <w:r>
              <w:rPr>
                <w:b/>
                <w:bCs/>
              </w:rPr>
              <w:t>Measurement</w:t>
            </w:r>
          </w:p>
        </w:tc>
        <w:tc>
          <w:tcPr>
            <w:tcW w:w="2340" w:type="dxa"/>
            <w:tcMar>
              <w:top w:w="100" w:type="dxa"/>
              <w:left w:w="100" w:type="dxa"/>
              <w:bottom w:w="100" w:type="dxa"/>
              <w:right w:w="100" w:type="dxa"/>
            </w:tcMar>
          </w:tcPr>
          <w:p w14:paraId="1D5EDEC8" w14:textId="77777777" w:rsidR="00E85880" w:rsidRDefault="00000000">
            <w:pPr>
              <w:ind w:left="0" w:firstLine="0"/>
            </w:pPr>
            <w:r>
              <w:t>AAS, CRS (continuous 0–100), PPR (continuous ratio)</w:t>
            </w:r>
          </w:p>
        </w:tc>
        <w:tc>
          <w:tcPr>
            <w:tcW w:w="2340" w:type="dxa"/>
            <w:tcMar>
              <w:top w:w="100" w:type="dxa"/>
              <w:left w:w="100" w:type="dxa"/>
              <w:bottom w:w="100" w:type="dxa"/>
              <w:right w:w="100" w:type="dxa"/>
            </w:tcMar>
          </w:tcPr>
          <w:p w14:paraId="5B9564B6" w14:textId="77777777" w:rsidR="00E85880" w:rsidRDefault="00000000">
            <w:pPr>
              <w:ind w:left="0" w:firstLine="0"/>
            </w:pPr>
            <w:r>
              <w:t>Numbers</w:t>
            </w:r>
          </w:p>
        </w:tc>
        <w:tc>
          <w:tcPr>
            <w:tcW w:w="2340" w:type="dxa"/>
            <w:tcMar>
              <w:top w:w="100" w:type="dxa"/>
              <w:left w:w="100" w:type="dxa"/>
              <w:bottom w:w="100" w:type="dxa"/>
              <w:right w:w="100" w:type="dxa"/>
            </w:tcMar>
          </w:tcPr>
          <w:p w14:paraId="0D4593F4" w14:textId="77777777" w:rsidR="00E85880" w:rsidRDefault="00000000">
            <w:pPr>
              <w:ind w:left="0" w:firstLine="0"/>
            </w:pPr>
            <w:r>
              <w:rPr>
                <w:b/>
                <w:bCs/>
              </w:rPr>
              <w:t>Ranking</w:t>
            </w:r>
            <w:r>
              <w:t xml:space="preserve"> survivors</w:t>
            </w:r>
          </w:p>
        </w:tc>
      </w:tr>
      <w:tr w:rsidR="00E85880" w14:paraId="2BB7ED20" w14:textId="77777777">
        <w:tc>
          <w:tcPr>
            <w:tcW w:w="2340" w:type="dxa"/>
            <w:tcMar>
              <w:top w:w="100" w:type="dxa"/>
              <w:left w:w="100" w:type="dxa"/>
              <w:bottom w:w="100" w:type="dxa"/>
              <w:right w:w="100" w:type="dxa"/>
            </w:tcMar>
          </w:tcPr>
          <w:p w14:paraId="4436188D" w14:textId="77777777" w:rsidR="00E85880" w:rsidRDefault="00000000">
            <w:pPr>
              <w:ind w:left="0" w:firstLine="0"/>
            </w:pPr>
            <w:r>
              <w:rPr>
                <w:b/>
                <w:bCs/>
              </w:rPr>
              <w:t>Decision</w:t>
            </w:r>
          </w:p>
        </w:tc>
        <w:tc>
          <w:tcPr>
            <w:tcW w:w="2340" w:type="dxa"/>
            <w:tcMar>
              <w:top w:w="100" w:type="dxa"/>
              <w:left w:w="100" w:type="dxa"/>
              <w:bottom w:w="100" w:type="dxa"/>
              <w:right w:w="100" w:type="dxa"/>
            </w:tcMar>
          </w:tcPr>
          <w:p w14:paraId="6A58ADF7" w14:textId="77777777" w:rsidR="00E85880" w:rsidRDefault="00000000">
            <w:pPr>
              <w:ind w:left="0" w:firstLine="0"/>
            </w:pPr>
            <w:r>
              <w:t>Six labels derived from those three dimensions</w:t>
            </w:r>
          </w:p>
        </w:tc>
        <w:tc>
          <w:tcPr>
            <w:tcW w:w="2340" w:type="dxa"/>
            <w:tcMar>
              <w:top w:w="100" w:type="dxa"/>
              <w:left w:w="100" w:type="dxa"/>
              <w:bottom w:w="100" w:type="dxa"/>
              <w:right w:w="100" w:type="dxa"/>
            </w:tcMar>
          </w:tcPr>
          <w:p w14:paraId="6716C747" w14:textId="77777777" w:rsidR="00E85880" w:rsidRDefault="00000000">
            <w:pPr>
              <w:ind w:left="0" w:firstLine="0"/>
            </w:pPr>
            <w:r>
              <w:t>Labels</w:t>
            </w:r>
          </w:p>
        </w:tc>
        <w:tc>
          <w:tcPr>
            <w:tcW w:w="2340" w:type="dxa"/>
            <w:tcMar>
              <w:top w:w="100" w:type="dxa"/>
              <w:left w:w="100" w:type="dxa"/>
              <w:bottom w:w="100" w:type="dxa"/>
              <w:right w:w="100" w:type="dxa"/>
            </w:tcMar>
          </w:tcPr>
          <w:p w14:paraId="6FE7D3DE" w14:textId="77777777" w:rsidR="00E85880" w:rsidRDefault="00000000">
            <w:pPr>
              <w:ind w:left="0" w:firstLine="0"/>
            </w:pPr>
            <w:r>
              <w:rPr>
                <w:b/>
                <w:bCs/>
              </w:rPr>
              <w:t>Gating</w:t>
            </w:r>
            <w:r>
              <w:t xml:space="preserve"> what survives</w:t>
            </w:r>
          </w:p>
        </w:tc>
      </w:tr>
    </w:tbl>
    <w:p w14:paraId="4A10B9AB" w14:textId="77777777" w:rsidR="00E85880" w:rsidRDefault="00E85880">
      <w:pPr>
        <w:widowControl w:val="0"/>
        <w:ind w:left="0" w:firstLine="0"/>
      </w:pPr>
    </w:p>
    <w:p w14:paraId="7EAFB52D" w14:textId="77777777" w:rsidR="00E85880" w:rsidRDefault="00000000">
      <w:pPr>
        <w:ind w:left="0" w:firstLine="0"/>
      </w:pPr>
      <w:r>
        <w:rPr>
          <w:b/>
          <w:bCs/>
        </w:rPr>
        <w:t>Why neither works alone:</w:t>
      </w:r>
    </w:p>
    <w:p w14:paraId="35C67A4E" w14:textId="77777777" w:rsidR="00E85880" w:rsidRDefault="00E85880">
      <w:pPr>
        <w:widowControl w:val="0"/>
        <w:ind w:left="0" w:firstLine="0"/>
      </w:pPr>
    </w:p>
    <w:p w14:paraId="1A4EDF06" w14:textId="77777777" w:rsidR="00E85880" w:rsidRDefault="00000000">
      <w:pPr>
        <w:numPr>
          <w:ilvl w:val="0"/>
          <w:numId w:val="2"/>
        </w:numPr>
      </w:pPr>
      <w:r>
        <w:rPr>
          <w:i/>
          <w:iCs/>
        </w:rPr>
        <w:t>The four-way classification lacks a continuous adjacency measure.</w:t>
      </w:r>
      <w:r>
        <w:rPr>
          <w:rFonts w:ascii="Arial Unicode MS" w:eastAsia="Arial Unicode MS" w:hAnsi="Arial Unicode MS" w:cs="Arial Unicode MS"/>
        </w:rPr>
        <w:t xml:space="preserve"> Its second axis is "same use occasion," which is binary and cannot express degree. Pediatric exam table paper against an office chair reads as "different occasion → irrelevant → reject as off-brand," which would reject the exact vertical-extension thesis Slide 11 of our own deck argues for. AAS expresses that as a middle value rather than a false negative.</w:t>
      </w:r>
    </w:p>
    <w:p w14:paraId="5ECEB71B" w14:textId="77777777" w:rsidR="00E85880" w:rsidRDefault="00000000">
      <w:pPr>
        <w:numPr>
          <w:ilvl w:val="0"/>
          <w:numId w:val="2"/>
        </w:numPr>
      </w:pPr>
      <w:r>
        <w:rPr>
          <w:i/>
          <w:iCs/>
        </w:rPr>
        <w:t>The AAS/CRS 2×2 lacks price.</w:t>
      </w:r>
      <w:r>
        <w:t xml:space="preserve"> A trade-up is high-AAS </w:t>
      </w:r>
      <w:r>
        <w:rPr>
          <w:b/>
          <w:bCs/>
        </w:rPr>
        <w:t>and</w:t>
      </w:r>
      <w:r>
        <w:t xml:space="preserve"> high-CRS, which in the original 2×2 falls squarely in "Substitution Risk" and gets rejected. The 2×2 actively mislabels the single case Pat would most want surfaced as an opportunity. PPR fixes it.</w:t>
      </w:r>
    </w:p>
    <w:p w14:paraId="3B535D0D" w14:textId="77777777" w:rsidR="00E85880" w:rsidRDefault="00000000">
      <w:pPr>
        <w:numPr>
          <w:ilvl w:val="0"/>
          <w:numId w:val="2"/>
        </w:numPr>
      </w:pPr>
      <w:r>
        <w:rPr>
          <w:i/>
          <w:iCs/>
        </w:rPr>
        <w:t>Structurally, the four-way is not a matrix.</w:t>
      </w:r>
      <w:r>
        <w:t xml:space="preserve"> Its second axis flips: price for the high-similarity rows, use occasion for the low-similarity rows. That works as a decision tree but leaves </w:t>
      </w:r>
      <w:r>
        <w:lastRenderedPageBreak/>
        <w:t>two cells undefined and cannot be plotted. The six-label form below is a complete, plottable grid.</w:t>
      </w:r>
    </w:p>
    <w:p w14:paraId="08259830" w14:textId="77777777" w:rsidR="00E85880" w:rsidRDefault="00000000">
      <w:pPr>
        <w:numPr>
          <w:ilvl w:val="0"/>
          <w:numId w:val="2"/>
        </w:numPr>
      </w:pPr>
      <w:r>
        <w:rPr>
          <w:i/>
          <w:iCs/>
        </w:rPr>
        <w:t>The four-way is terminal, the scores are continuous.</w:t>
      </w:r>
      <w:r>
        <w:t xml:space="preserve"> Approve/reject cannot produce a shortlist ordering. Scores cannot make a call. You need both.</w:t>
      </w:r>
    </w:p>
    <w:p w14:paraId="254C2276" w14:textId="77777777" w:rsidR="00E85880" w:rsidRDefault="00000000">
      <w:pPr>
        <w:pStyle w:val="Heading4"/>
        <w:ind w:left="0" w:firstLine="0"/>
        <w:rPr>
          <w:b w:val="0"/>
          <w:bCs w:val="0"/>
          <w:i w:val="0"/>
          <w:iCs w:val="0"/>
          <w:color w:val="666666"/>
        </w:rPr>
      </w:pPr>
      <w:bookmarkStart w:id="13" w:name="_a6simkpixlg1" w:colFirst="0" w:colLast="0"/>
      <w:bookmarkEnd w:id="13"/>
      <w:r>
        <w:rPr>
          <w:b w:val="0"/>
          <w:bCs w:val="0"/>
          <w:i w:val="0"/>
          <w:iCs w:val="0"/>
          <w:color w:val="666666"/>
        </w:rPr>
        <w:t>The six labels</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E85880" w14:paraId="36F0529B" w14:textId="77777777">
        <w:trPr>
          <w:tblHeader/>
        </w:trPr>
        <w:tc>
          <w:tcPr>
            <w:tcW w:w="2340" w:type="dxa"/>
            <w:tcMar>
              <w:top w:w="100" w:type="dxa"/>
              <w:left w:w="100" w:type="dxa"/>
              <w:bottom w:w="100" w:type="dxa"/>
              <w:right w:w="100" w:type="dxa"/>
            </w:tcMar>
          </w:tcPr>
          <w:p w14:paraId="74D2C51B" w14:textId="77777777" w:rsidR="00E85880" w:rsidRDefault="00000000">
            <w:pPr>
              <w:ind w:left="0" w:firstLine="0"/>
              <w:rPr>
                <w:b/>
                <w:bCs/>
              </w:rPr>
            </w:pPr>
            <w:r>
              <w:rPr>
                <w:b/>
                <w:bCs/>
              </w:rPr>
              <w:t>Label</w:t>
            </w:r>
          </w:p>
        </w:tc>
        <w:tc>
          <w:tcPr>
            <w:tcW w:w="2340" w:type="dxa"/>
            <w:tcMar>
              <w:top w:w="100" w:type="dxa"/>
              <w:left w:w="100" w:type="dxa"/>
              <w:bottom w:w="100" w:type="dxa"/>
              <w:right w:w="100" w:type="dxa"/>
            </w:tcMar>
          </w:tcPr>
          <w:p w14:paraId="54E09E82" w14:textId="77777777" w:rsidR="00E85880" w:rsidRDefault="00000000">
            <w:pPr>
              <w:ind w:left="0" w:firstLine="0"/>
              <w:rPr>
                <w:b/>
                <w:bCs/>
              </w:rPr>
            </w:pPr>
            <w:r>
              <w:rPr>
                <w:b/>
                <w:bCs/>
              </w:rPr>
              <w:t>Rule</w:t>
            </w:r>
          </w:p>
        </w:tc>
        <w:tc>
          <w:tcPr>
            <w:tcW w:w="2340" w:type="dxa"/>
            <w:tcMar>
              <w:top w:w="100" w:type="dxa"/>
              <w:left w:w="100" w:type="dxa"/>
              <w:bottom w:w="100" w:type="dxa"/>
              <w:right w:w="100" w:type="dxa"/>
            </w:tcMar>
          </w:tcPr>
          <w:p w14:paraId="482DCB40" w14:textId="77777777" w:rsidR="00E85880" w:rsidRDefault="00000000">
            <w:pPr>
              <w:ind w:left="0" w:firstLine="0"/>
              <w:rPr>
                <w:b/>
                <w:bCs/>
              </w:rPr>
            </w:pPr>
            <w:r>
              <w:rPr>
                <w:b/>
                <w:bCs/>
              </w:rPr>
              <w:t>Action</w:t>
            </w:r>
          </w:p>
        </w:tc>
        <w:tc>
          <w:tcPr>
            <w:tcW w:w="2340" w:type="dxa"/>
            <w:tcMar>
              <w:top w:w="100" w:type="dxa"/>
              <w:left w:w="100" w:type="dxa"/>
              <w:bottom w:w="100" w:type="dxa"/>
              <w:right w:w="100" w:type="dxa"/>
            </w:tcMar>
          </w:tcPr>
          <w:p w14:paraId="1FDB30EA" w14:textId="77777777" w:rsidR="00E85880" w:rsidRDefault="00000000">
            <w:pPr>
              <w:ind w:left="0" w:firstLine="0"/>
              <w:rPr>
                <w:b/>
                <w:bCs/>
              </w:rPr>
            </w:pPr>
            <w:r>
              <w:rPr>
                <w:b/>
                <w:bCs/>
              </w:rPr>
              <w:t>Rationale</w:t>
            </w:r>
          </w:p>
        </w:tc>
      </w:tr>
      <w:tr w:rsidR="00E85880" w14:paraId="7924AC30" w14:textId="77777777">
        <w:tc>
          <w:tcPr>
            <w:tcW w:w="2340" w:type="dxa"/>
            <w:tcMar>
              <w:top w:w="100" w:type="dxa"/>
              <w:left w:w="100" w:type="dxa"/>
              <w:bottom w:w="100" w:type="dxa"/>
              <w:right w:w="100" w:type="dxa"/>
            </w:tcMar>
          </w:tcPr>
          <w:p w14:paraId="3C9DD6BB" w14:textId="77777777" w:rsidR="00E85880" w:rsidRDefault="00000000">
            <w:pPr>
              <w:ind w:left="0" w:firstLine="0"/>
            </w:pPr>
            <w:r>
              <w:rPr>
                <w:b/>
                <w:bCs/>
              </w:rPr>
              <w:t>CURATE</w:t>
            </w:r>
          </w:p>
        </w:tc>
        <w:tc>
          <w:tcPr>
            <w:tcW w:w="2340" w:type="dxa"/>
            <w:tcMar>
              <w:top w:w="100" w:type="dxa"/>
              <w:left w:w="100" w:type="dxa"/>
              <w:bottom w:w="100" w:type="dxa"/>
              <w:right w:w="100" w:type="dxa"/>
            </w:tcMar>
          </w:tcPr>
          <w:p w14:paraId="0E439648" w14:textId="77777777" w:rsidR="00E85880" w:rsidRDefault="00000000">
            <w:pPr>
              <w:ind w:left="0" w:firstLine="0"/>
            </w:pPr>
            <w:r>
              <w:t>AAS &gt; 60, CRS &lt; 40</w:t>
            </w:r>
          </w:p>
        </w:tc>
        <w:tc>
          <w:tcPr>
            <w:tcW w:w="2340" w:type="dxa"/>
            <w:tcMar>
              <w:top w:w="100" w:type="dxa"/>
              <w:left w:w="100" w:type="dxa"/>
              <w:bottom w:w="100" w:type="dxa"/>
              <w:right w:w="100" w:type="dxa"/>
            </w:tcMar>
          </w:tcPr>
          <w:p w14:paraId="51E91389" w14:textId="77777777" w:rsidR="00E85880" w:rsidRDefault="00000000">
            <w:pPr>
              <w:ind w:left="0" w:firstLine="0"/>
            </w:pPr>
            <w:r>
              <w:t>Approve</w:t>
            </w:r>
          </w:p>
        </w:tc>
        <w:tc>
          <w:tcPr>
            <w:tcW w:w="2340" w:type="dxa"/>
            <w:tcMar>
              <w:top w:w="100" w:type="dxa"/>
              <w:left w:w="100" w:type="dxa"/>
              <w:bottom w:w="100" w:type="dxa"/>
              <w:right w:w="100" w:type="dxa"/>
            </w:tcMar>
          </w:tcPr>
          <w:p w14:paraId="759F3E44" w14:textId="77777777" w:rsidR="00E85880" w:rsidRDefault="00000000">
            <w:pPr>
              <w:ind w:left="0" w:firstLine="0"/>
            </w:pPr>
            <w:r>
              <w:t>The White Chair. Genuine whitespace inside the brand</w:t>
            </w:r>
          </w:p>
        </w:tc>
      </w:tr>
      <w:tr w:rsidR="00E85880" w14:paraId="468E5A1C" w14:textId="77777777">
        <w:tc>
          <w:tcPr>
            <w:tcW w:w="2340" w:type="dxa"/>
            <w:tcMar>
              <w:top w:w="100" w:type="dxa"/>
              <w:left w:w="100" w:type="dxa"/>
              <w:bottom w:w="100" w:type="dxa"/>
              <w:right w:w="100" w:type="dxa"/>
            </w:tcMar>
          </w:tcPr>
          <w:p w14:paraId="0EEEA673" w14:textId="77777777" w:rsidR="00E85880" w:rsidRDefault="00000000">
            <w:pPr>
              <w:ind w:left="0" w:firstLine="0"/>
            </w:pPr>
            <w:r>
              <w:rPr>
                <w:b/>
                <w:bCs/>
              </w:rPr>
              <w:t>TRADE-UP</w:t>
            </w:r>
          </w:p>
        </w:tc>
        <w:tc>
          <w:tcPr>
            <w:tcW w:w="2340" w:type="dxa"/>
            <w:tcMar>
              <w:top w:w="100" w:type="dxa"/>
              <w:left w:w="100" w:type="dxa"/>
              <w:bottom w:w="100" w:type="dxa"/>
              <w:right w:w="100" w:type="dxa"/>
            </w:tcMar>
          </w:tcPr>
          <w:p w14:paraId="74744ABD" w14:textId="77777777" w:rsidR="00E85880" w:rsidRDefault="00000000">
            <w:pPr>
              <w:ind w:left="0" w:firstLine="0"/>
            </w:pPr>
            <w:r>
              <w:t xml:space="preserve">AAS &gt; 60, CRS &gt; 60, </w:t>
            </w:r>
            <w:r>
              <w:rPr>
                <w:rFonts w:ascii="Arial Unicode MS" w:eastAsia="Arial Unicode MS" w:hAnsi="Arial Unicode MS" w:cs="Arial Unicode MS"/>
                <w:b/>
                <w:bCs/>
              </w:rPr>
              <w:t>PPR ≥ 1.5</w:t>
            </w:r>
            <w:r>
              <w:t>, DFI delta &gt; 0.3</w:t>
            </w:r>
          </w:p>
        </w:tc>
        <w:tc>
          <w:tcPr>
            <w:tcW w:w="2340" w:type="dxa"/>
            <w:tcMar>
              <w:top w:w="100" w:type="dxa"/>
              <w:left w:w="100" w:type="dxa"/>
              <w:bottom w:w="100" w:type="dxa"/>
              <w:right w:w="100" w:type="dxa"/>
            </w:tcMar>
          </w:tcPr>
          <w:p w14:paraId="2C642102" w14:textId="77777777" w:rsidR="00E85880" w:rsidRDefault="00000000">
            <w:pPr>
              <w:ind w:left="0" w:firstLine="0"/>
            </w:pPr>
            <w:r>
              <w:t>Approve with margin note</w:t>
            </w:r>
          </w:p>
        </w:tc>
        <w:tc>
          <w:tcPr>
            <w:tcW w:w="2340" w:type="dxa"/>
            <w:tcMar>
              <w:top w:w="100" w:type="dxa"/>
              <w:left w:w="100" w:type="dxa"/>
              <w:bottom w:w="100" w:type="dxa"/>
              <w:right w:w="100" w:type="dxa"/>
            </w:tcMar>
          </w:tcPr>
          <w:p w14:paraId="18531662" w14:textId="77777777" w:rsidR="00E85880" w:rsidRDefault="00000000">
            <w:pPr>
              <w:ind w:left="0" w:firstLine="0"/>
            </w:pPr>
            <w:r>
              <w:t xml:space="preserve">Grows basket value. The DFI condition matters — a trade-up is only defensible if the higher price buys something the buyer can </w:t>
            </w:r>
            <w:r>
              <w:rPr>
                <w:i/>
                <w:iCs/>
              </w:rPr>
              <w:t>see</w:t>
            </w:r>
            <w:r>
              <w:t>. Without it you are recommending an expensive version of the same chair</w:t>
            </w:r>
          </w:p>
        </w:tc>
      </w:tr>
      <w:tr w:rsidR="00E85880" w14:paraId="00E8363A" w14:textId="77777777">
        <w:tc>
          <w:tcPr>
            <w:tcW w:w="2340" w:type="dxa"/>
            <w:tcMar>
              <w:top w:w="100" w:type="dxa"/>
              <w:left w:w="100" w:type="dxa"/>
              <w:bottom w:w="100" w:type="dxa"/>
              <w:right w:w="100" w:type="dxa"/>
            </w:tcMar>
          </w:tcPr>
          <w:p w14:paraId="5E23B9F7" w14:textId="77777777" w:rsidR="00E85880" w:rsidRDefault="00000000">
            <w:pPr>
              <w:ind w:left="0" w:firstLine="0"/>
            </w:pPr>
            <w:r>
              <w:rPr>
                <w:b/>
                <w:bCs/>
              </w:rPr>
              <w:t>SUBSTITUTE</w:t>
            </w:r>
          </w:p>
        </w:tc>
        <w:tc>
          <w:tcPr>
            <w:tcW w:w="2340" w:type="dxa"/>
            <w:tcMar>
              <w:top w:w="100" w:type="dxa"/>
              <w:left w:w="100" w:type="dxa"/>
              <w:bottom w:w="100" w:type="dxa"/>
              <w:right w:w="100" w:type="dxa"/>
            </w:tcMar>
          </w:tcPr>
          <w:p w14:paraId="1BA211BF" w14:textId="77777777" w:rsidR="00E85880" w:rsidRDefault="00000000">
            <w:pPr>
              <w:ind w:left="0" w:firstLine="0"/>
            </w:pPr>
            <w:r>
              <w:t xml:space="preserve">AAS &gt; 60, CRS &gt; 60, </w:t>
            </w:r>
            <w:r>
              <w:rPr>
                <w:b/>
                <w:bCs/>
              </w:rPr>
              <w:t>PPR 0.85–1.5</w:t>
            </w:r>
          </w:p>
        </w:tc>
        <w:tc>
          <w:tcPr>
            <w:tcW w:w="2340" w:type="dxa"/>
            <w:tcMar>
              <w:top w:w="100" w:type="dxa"/>
              <w:left w:w="100" w:type="dxa"/>
              <w:bottom w:w="100" w:type="dxa"/>
              <w:right w:w="100" w:type="dxa"/>
            </w:tcMar>
          </w:tcPr>
          <w:p w14:paraId="338F9E22" w14:textId="77777777" w:rsidR="00E85880" w:rsidRDefault="00000000">
            <w:pPr>
              <w:ind w:left="0" w:firstLine="0"/>
            </w:pPr>
            <w:r>
              <w:t>Reject</w:t>
            </w:r>
          </w:p>
        </w:tc>
        <w:tc>
          <w:tcPr>
            <w:tcW w:w="2340" w:type="dxa"/>
            <w:tcMar>
              <w:top w:w="100" w:type="dxa"/>
              <w:left w:w="100" w:type="dxa"/>
              <w:bottom w:w="100" w:type="dxa"/>
              <w:right w:w="100" w:type="dxa"/>
            </w:tcMar>
          </w:tcPr>
          <w:p w14:paraId="27B25EB6" w14:textId="77777777" w:rsidR="00E85880" w:rsidRDefault="00000000">
            <w:pPr>
              <w:ind w:left="0" w:firstLine="0"/>
            </w:pPr>
            <w:r>
              <w:t>Same product, same price point. Pure diversion</w:t>
            </w:r>
          </w:p>
        </w:tc>
      </w:tr>
      <w:tr w:rsidR="00E85880" w14:paraId="0D7D0BBE" w14:textId="77777777">
        <w:tc>
          <w:tcPr>
            <w:tcW w:w="2340" w:type="dxa"/>
            <w:tcMar>
              <w:top w:w="100" w:type="dxa"/>
              <w:left w:w="100" w:type="dxa"/>
              <w:bottom w:w="100" w:type="dxa"/>
              <w:right w:w="100" w:type="dxa"/>
            </w:tcMar>
          </w:tcPr>
          <w:p w14:paraId="6774F4D5" w14:textId="77777777" w:rsidR="00E85880" w:rsidRDefault="00000000">
            <w:pPr>
              <w:ind w:left="0" w:firstLine="0"/>
            </w:pPr>
            <w:r>
              <w:rPr>
                <w:b/>
                <w:bCs/>
              </w:rPr>
              <w:t>UNDERCUT</w:t>
            </w:r>
          </w:p>
        </w:tc>
        <w:tc>
          <w:tcPr>
            <w:tcW w:w="2340" w:type="dxa"/>
            <w:tcMar>
              <w:top w:w="100" w:type="dxa"/>
              <w:left w:w="100" w:type="dxa"/>
              <w:bottom w:w="100" w:type="dxa"/>
              <w:right w:w="100" w:type="dxa"/>
            </w:tcMar>
          </w:tcPr>
          <w:p w14:paraId="0CE17E34" w14:textId="77777777" w:rsidR="00E85880" w:rsidRDefault="00000000">
            <w:pPr>
              <w:ind w:left="0" w:firstLine="0"/>
            </w:pPr>
            <w:r>
              <w:t xml:space="preserve">AAS &gt; 60, CRS &gt; 60, </w:t>
            </w:r>
            <w:r>
              <w:rPr>
                <w:rFonts w:ascii="Arial Unicode MS" w:eastAsia="Arial Unicode MS" w:hAnsi="Arial Unicode MS" w:cs="Arial Unicode MS"/>
                <w:b/>
                <w:bCs/>
              </w:rPr>
              <w:t>PPR ≤ 0.85</w:t>
            </w:r>
          </w:p>
        </w:tc>
        <w:tc>
          <w:tcPr>
            <w:tcW w:w="2340" w:type="dxa"/>
            <w:tcMar>
              <w:top w:w="100" w:type="dxa"/>
              <w:left w:w="100" w:type="dxa"/>
              <w:bottom w:w="100" w:type="dxa"/>
              <w:right w:w="100" w:type="dxa"/>
            </w:tcMar>
          </w:tcPr>
          <w:p w14:paraId="41B34245" w14:textId="77777777" w:rsidR="00E85880" w:rsidRDefault="00000000">
            <w:pPr>
              <w:ind w:left="0" w:firstLine="0"/>
            </w:pPr>
            <w:r>
              <w:rPr>
                <w:b/>
                <w:bCs/>
              </w:rPr>
              <w:t>Hard reject</w:t>
            </w:r>
          </w:p>
        </w:tc>
        <w:tc>
          <w:tcPr>
            <w:tcW w:w="2340" w:type="dxa"/>
            <w:tcMar>
              <w:top w:w="100" w:type="dxa"/>
              <w:left w:w="100" w:type="dxa"/>
              <w:bottom w:w="100" w:type="dxa"/>
              <w:right w:w="100" w:type="dxa"/>
            </w:tcMar>
          </w:tcPr>
          <w:p w14:paraId="15021F72" w14:textId="77777777" w:rsidR="00E85880" w:rsidRDefault="00000000">
            <w:pPr>
              <w:ind w:left="0" w:firstLine="0"/>
            </w:pPr>
            <w:r>
              <w:t xml:space="preserve">Strictly worse than a substitute: it diverts the unit </w:t>
            </w:r>
            <w:r>
              <w:rPr>
                <w:i/>
                <w:iCs/>
              </w:rPr>
              <w:t>and</w:t>
            </w:r>
            <w:r>
              <w:t xml:space="preserve"> resets the category price point, training the buyer to expect the lower number. Deserves a harder gate than plain substitution and a separate line in the readout</w:t>
            </w:r>
          </w:p>
        </w:tc>
      </w:tr>
      <w:tr w:rsidR="00E85880" w14:paraId="1706E146" w14:textId="77777777">
        <w:tc>
          <w:tcPr>
            <w:tcW w:w="2340" w:type="dxa"/>
            <w:tcMar>
              <w:top w:w="100" w:type="dxa"/>
              <w:left w:w="100" w:type="dxa"/>
              <w:bottom w:w="100" w:type="dxa"/>
              <w:right w:w="100" w:type="dxa"/>
            </w:tcMar>
          </w:tcPr>
          <w:p w14:paraId="11383BC3" w14:textId="77777777" w:rsidR="00E85880" w:rsidRDefault="00000000">
            <w:pPr>
              <w:ind w:left="0" w:firstLine="0"/>
            </w:pPr>
            <w:r>
              <w:rPr>
                <w:b/>
                <w:bCs/>
              </w:rPr>
              <w:t>VERTICAL EXTENSION</w:t>
            </w:r>
          </w:p>
        </w:tc>
        <w:tc>
          <w:tcPr>
            <w:tcW w:w="2340" w:type="dxa"/>
            <w:tcMar>
              <w:top w:w="100" w:type="dxa"/>
              <w:left w:w="100" w:type="dxa"/>
              <w:bottom w:w="100" w:type="dxa"/>
              <w:right w:w="100" w:type="dxa"/>
            </w:tcMar>
          </w:tcPr>
          <w:p w14:paraId="3559631C" w14:textId="77777777" w:rsidR="00E85880" w:rsidRDefault="00000000">
            <w:pPr>
              <w:ind w:left="0" w:firstLine="0"/>
            </w:pPr>
            <w:r>
              <w:t>AAS 40–60, CRS &lt; 40, strong JTBD link to a served vertical</w:t>
            </w:r>
          </w:p>
        </w:tc>
        <w:tc>
          <w:tcPr>
            <w:tcW w:w="2340" w:type="dxa"/>
            <w:tcMar>
              <w:top w:w="100" w:type="dxa"/>
              <w:left w:w="100" w:type="dxa"/>
              <w:bottom w:w="100" w:type="dxa"/>
              <w:right w:w="100" w:type="dxa"/>
            </w:tcMar>
          </w:tcPr>
          <w:p w14:paraId="413BF6A6" w14:textId="77777777" w:rsidR="00E85880" w:rsidRDefault="00000000">
            <w:pPr>
              <w:ind w:left="0" w:firstLine="0"/>
            </w:pPr>
            <w:r>
              <w:rPr>
                <w:b/>
                <w:bCs/>
              </w:rPr>
              <w:t>Hold for phase 2</w:t>
            </w:r>
          </w:p>
        </w:tc>
        <w:tc>
          <w:tcPr>
            <w:tcW w:w="2340" w:type="dxa"/>
            <w:tcMar>
              <w:top w:w="100" w:type="dxa"/>
              <w:left w:w="100" w:type="dxa"/>
              <w:bottom w:w="100" w:type="dxa"/>
              <w:right w:w="100" w:type="dxa"/>
            </w:tcMar>
          </w:tcPr>
          <w:p w14:paraId="3472111A" w14:textId="77777777" w:rsidR="00E85880" w:rsidRDefault="00000000">
            <w:pPr>
              <w:ind w:left="0" w:firstLine="0"/>
            </w:pPr>
            <w:r>
              <w:t xml:space="preserve">Not core-adjacent, not off-brand. This is where the deck's </w:t>
            </w:r>
            <w:r>
              <w:lastRenderedPageBreak/>
              <w:t>pediatrics blueprint lands. Holding keeps the phase-two story alive without contaminating a shortlist Pat asked to be core-adjacent</w:t>
            </w:r>
          </w:p>
        </w:tc>
      </w:tr>
      <w:tr w:rsidR="00E85880" w14:paraId="30BF9911" w14:textId="77777777">
        <w:tc>
          <w:tcPr>
            <w:tcW w:w="2340" w:type="dxa"/>
            <w:tcMar>
              <w:top w:w="100" w:type="dxa"/>
              <w:left w:w="100" w:type="dxa"/>
              <w:bottom w:w="100" w:type="dxa"/>
              <w:right w:w="100" w:type="dxa"/>
            </w:tcMar>
          </w:tcPr>
          <w:p w14:paraId="7DFCF133" w14:textId="77777777" w:rsidR="00E85880" w:rsidRDefault="00000000">
            <w:pPr>
              <w:ind w:left="0" w:firstLine="0"/>
            </w:pPr>
            <w:r>
              <w:rPr>
                <w:b/>
                <w:bCs/>
              </w:rPr>
              <w:lastRenderedPageBreak/>
              <w:t>OFF-BRAND</w:t>
            </w:r>
          </w:p>
        </w:tc>
        <w:tc>
          <w:tcPr>
            <w:tcW w:w="2340" w:type="dxa"/>
            <w:tcMar>
              <w:top w:w="100" w:type="dxa"/>
              <w:left w:w="100" w:type="dxa"/>
              <w:bottom w:w="100" w:type="dxa"/>
              <w:right w:w="100" w:type="dxa"/>
            </w:tcMar>
          </w:tcPr>
          <w:p w14:paraId="6BBE2943" w14:textId="77777777" w:rsidR="00E85880" w:rsidRDefault="00000000">
            <w:pPr>
              <w:ind w:left="0" w:firstLine="0"/>
            </w:pPr>
            <w:r>
              <w:t>AAS &lt; 40, CRS &lt; 40</w:t>
            </w:r>
          </w:p>
        </w:tc>
        <w:tc>
          <w:tcPr>
            <w:tcW w:w="2340" w:type="dxa"/>
            <w:tcMar>
              <w:top w:w="100" w:type="dxa"/>
              <w:left w:w="100" w:type="dxa"/>
              <w:bottom w:w="100" w:type="dxa"/>
              <w:right w:w="100" w:type="dxa"/>
            </w:tcMar>
          </w:tcPr>
          <w:p w14:paraId="7941D35E" w14:textId="77777777" w:rsidR="00E85880" w:rsidRDefault="00000000">
            <w:pPr>
              <w:ind w:left="0" w:firstLine="0"/>
            </w:pPr>
            <w:r>
              <w:t>Reject</w:t>
            </w:r>
          </w:p>
        </w:tc>
        <w:tc>
          <w:tcPr>
            <w:tcW w:w="2340" w:type="dxa"/>
            <w:tcMar>
              <w:top w:w="100" w:type="dxa"/>
              <w:left w:w="100" w:type="dxa"/>
              <w:bottom w:w="100" w:type="dxa"/>
              <w:right w:w="100" w:type="dxa"/>
            </w:tcMar>
          </w:tcPr>
          <w:p w14:paraId="6D56A9DE" w14:textId="77777777" w:rsidR="00E85880" w:rsidRDefault="00000000">
            <w:pPr>
              <w:ind w:left="0" w:firstLine="0"/>
            </w:pPr>
            <w:r>
              <w:t>Real gap, wrong store</w:t>
            </w:r>
          </w:p>
        </w:tc>
      </w:tr>
      <w:tr w:rsidR="00E85880" w14:paraId="38DA9827" w14:textId="77777777">
        <w:tc>
          <w:tcPr>
            <w:tcW w:w="2340" w:type="dxa"/>
            <w:tcMar>
              <w:top w:w="100" w:type="dxa"/>
              <w:left w:w="100" w:type="dxa"/>
              <w:bottom w:w="100" w:type="dxa"/>
              <w:right w:w="100" w:type="dxa"/>
            </w:tcMar>
          </w:tcPr>
          <w:p w14:paraId="415FFEE9" w14:textId="77777777" w:rsidR="00E85880" w:rsidRDefault="00000000">
            <w:pPr>
              <w:ind w:left="0" w:firstLine="0"/>
            </w:pPr>
            <w:r>
              <w:rPr>
                <w:i/>
                <w:iCs/>
              </w:rPr>
              <w:t>(DATA ERROR)</w:t>
            </w:r>
          </w:p>
        </w:tc>
        <w:tc>
          <w:tcPr>
            <w:tcW w:w="2340" w:type="dxa"/>
            <w:tcMar>
              <w:top w:w="100" w:type="dxa"/>
              <w:left w:w="100" w:type="dxa"/>
              <w:bottom w:w="100" w:type="dxa"/>
              <w:right w:w="100" w:type="dxa"/>
            </w:tcMar>
          </w:tcPr>
          <w:p w14:paraId="1AC31367" w14:textId="77777777" w:rsidR="00E85880" w:rsidRDefault="00000000">
            <w:pPr>
              <w:ind w:left="0" w:firstLine="0"/>
            </w:pPr>
            <w:r>
              <w:t>AAS &lt; 40, CRS &gt; 60</w:t>
            </w:r>
          </w:p>
        </w:tc>
        <w:tc>
          <w:tcPr>
            <w:tcW w:w="2340" w:type="dxa"/>
            <w:tcMar>
              <w:top w:w="100" w:type="dxa"/>
              <w:left w:w="100" w:type="dxa"/>
              <w:bottom w:w="100" w:type="dxa"/>
              <w:right w:w="100" w:type="dxa"/>
            </w:tcMar>
          </w:tcPr>
          <w:p w14:paraId="48CC1954" w14:textId="77777777" w:rsidR="00E85880" w:rsidRDefault="00000000">
            <w:pPr>
              <w:ind w:left="0" w:firstLine="0"/>
            </w:pPr>
            <w:r>
              <w:t>Investigate, don't score</w:t>
            </w:r>
          </w:p>
        </w:tc>
        <w:tc>
          <w:tcPr>
            <w:tcW w:w="2340" w:type="dxa"/>
            <w:tcMar>
              <w:top w:w="100" w:type="dxa"/>
              <w:left w:w="100" w:type="dxa"/>
              <w:bottom w:w="100" w:type="dxa"/>
              <w:right w:w="100" w:type="dxa"/>
            </w:tcMar>
          </w:tcPr>
          <w:p w14:paraId="58F48D39" w14:textId="77777777" w:rsidR="00E85880" w:rsidRDefault="00000000">
            <w:pPr>
              <w:ind w:left="0" w:firstLine="0"/>
            </w:pPr>
            <w:r>
              <w:t>Should be near-empty. Population here means the embedding or taxonomy is wrong</w:t>
            </w:r>
          </w:p>
        </w:tc>
      </w:tr>
      <w:tr w:rsidR="00E85880" w14:paraId="4FD7CE5A" w14:textId="77777777">
        <w:tc>
          <w:tcPr>
            <w:tcW w:w="2340" w:type="dxa"/>
            <w:tcMar>
              <w:top w:w="100" w:type="dxa"/>
              <w:left w:w="100" w:type="dxa"/>
              <w:bottom w:w="100" w:type="dxa"/>
              <w:right w:w="100" w:type="dxa"/>
            </w:tcMar>
          </w:tcPr>
          <w:p w14:paraId="350BDED8" w14:textId="77777777" w:rsidR="00E85880" w:rsidRDefault="00000000">
            <w:pPr>
              <w:ind w:left="0" w:firstLine="0"/>
            </w:pPr>
            <w:r>
              <w:rPr>
                <w:i/>
                <w:iCs/>
              </w:rPr>
              <w:t>(REJECT — weak fit)</w:t>
            </w:r>
          </w:p>
        </w:tc>
        <w:tc>
          <w:tcPr>
            <w:tcW w:w="2340" w:type="dxa"/>
            <w:tcMar>
              <w:top w:w="100" w:type="dxa"/>
              <w:left w:w="100" w:type="dxa"/>
              <w:bottom w:w="100" w:type="dxa"/>
              <w:right w:w="100" w:type="dxa"/>
            </w:tcMar>
          </w:tcPr>
          <w:p w14:paraId="2370D3AC" w14:textId="77777777" w:rsidR="00E85880" w:rsidRDefault="00000000">
            <w:pPr>
              <w:ind w:left="0" w:firstLine="0"/>
            </w:pPr>
            <w:r>
              <w:t>AAS 40–60, CRS &gt; 60</w:t>
            </w:r>
          </w:p>
        </w:tc>
        <w:tc>
          <w:tcPr>
            <w:tcW w:w="2340" w:type="dxa"/>
            <w:tcMar>
              <w:top w:w="100" w:type="dxa"/>
              <w:left w:w="100" w:type="dxa"/>
              <w:bottom w:w="100" w:type="dxa"/>
              <w:right w:w="100" w:type="dxa"/>
            </w:tcMar>
          </w:tcPr>
          <w:p w14:paraId="3A7520BC" w14:textId="77777777" w:rsidR="00E85880" w:rsidRDefault="00000000">
            <w:pPr>
              <w:ind w:left="0" w:firstLine="0"/>
            </w:pPr>
            <w:r>
              <w:t>Reject</w:t>
            </w:r>
          </w:p>
        </w:tc>
        <w:tc>
          <w:tcPr>
            <w:tcW w:w="2340" w:type="dxa"/>
            <w:tcMar>
              <w:top w:w="100" w:type="dxa"/>
              <w:left w:w="100" w:type="dxa"/>
              <w:bottom w:w="100" w:type="dxa"/>
              <w:right w:w="100" w:type="dxa"/>
            </w:tcMar>
          </w:tcPr>
          <w:p w14:paraId="3A75AF6D" w14:textId="77777777" w:rsidR="00E85880" w:rsidRDefault="00000000">
            <w:pPr>
              <w:ind w:left="0" w:firstLine="0"/>
            </w:pPr>
            <w:r>
              <w:t>Close match to 1P without the brand-fit upside</w:t>
            </w:r>
          </w:p>
        </w:tc>
      </w:tr>
    </w:tbl>
    <w:p w14:paraId="25141FCC" w14:textId="77777777" w:rsidR="00E85880" w:rsidRDefault="00E85880">
      <w:pPr>
        <w:widowControl w:val="0"/>
        <w:ind w:left="0" w:firstLine="0"/>
      </w:pPr>
    </w:p>
    <w:p w14:paraId="1014AB6E" w14:textId="77777777" w:rsidR="00E85880" w:rsidRDefault="00000000">
      <w:pPr>
        <w:ind w:left="0" w:firstLine="0"/>
      </w:pPr>
      <w:r>
        <w:rPr>
          <w:rFonts w:ascii="Roboto Mono" w:eastAsia="Roboto Mono" w:hAnsi="Roboto Mono" w:cs="Roboto Mono"/>
          <w:color w:val="188038"/>
        </w:rPr>
        <w:t>UNDERCUT</w:t>
      </w:r>
      <w:r>
        <w:t xml:space="preserve"> and </w:t>
      </w:r>
      <w:r>
        <w:rPr>
          <w:rFonts w:ascii="Roboto Mono" w:eastAsia="Roboto Mono" w:hAnsi="Roboto Mono" w:cs="Roboto Mono"/>
          <w:color w:val="188038"/>
        </w:rPr>
        <w:t>VERTICAL EXTENSION</w:t>
      </w:r>
      <w:r>
        <w:t xml:space="preserve"> exist in neither source framework and both earn their place — the first because 1P protection is the stated mandate, the second because rejecting it would contradict what we have already presented to the client.</w:t>
      </w:r>
    </w:p>
    <w:p w14:paraId="04015808" w14:textId="77777777" w:rsidR="00E85880" w:rsidRDefault="00000000">
      <w:pPr>
        <w:pStyle w:val="Heading4"/>
        <w:ind w:left="0" w:firstLine="0"/>
        <w:rPr>
          <w:b w:val="0"/>
          <w:bCs w:val="0"/>
          <w:i w:val="0"/>
          <w:iCs w:val="0"/>
          <w:color w:val="666666"/>
        </w:rPr>
      </w:pPr>
      <w:bookmarkStart w:id="14" w:name="_6uw8w1e8q41r" w:colFirst="0" w:colLast="0"/>
      <w:bookmarkEnd w:id="14"/>
      <w:r>
        <w:rPr>
          <w:b w:val="0"/>
          <w:bCs w:val="0"/>
          <w:i w:val="0"/>
          <w:iCs w:val="0"/>
          <w:color w:val="666666"/>
        </w:rPr>
        <w:t>Operational rule</w:t>
      </w:r>
    </w:p>
    <w:p w14:paraId="429ADFCE" w14:textId="77777777" w:rsidR="00E85880" w:rsidRDefault="00000000">
      <w:pPr>
        <w:ind w:left="0" w:firstLine="0"/>
        <w:rPr>
          <w:rFonts w:ascii="Roboto Mono" w:eastAsia="Roboto Mono" w:hAnsi="Roboto Mono" w:cs="Roboto Mono"/>
          <w:color w:val="188038"/>
          <w:sz w:val="18"/>
          <w:szCs w:val="18"/>
        </w:rPr>
      </w:pPr>
      <w:r>
        <w:rPr>
          <w:color w:val="188038"/>
        </w:rPr>
        <w:t></w:t>
      </w:r>
      <w:r>
        <w:rPr>
          <w:rFonts w:ascii="Roboto Mono" w:eastAsia="Roboto Mono" w:hAnsi="Roboto Mono" w:cs="Roboto Mono"/>
          <w:color w:val="188038"/>
          <w:sz w:val="18"/>
          <w:szCs w:val="18"/>
        </w:rPr>
        <w:t>1. GATE   — assign the decision label. Drop SUBSTITUTE, UNDERCUT, OFF-BRAND,</w:t>
      </w:r>
    </w:p>
    <w:p w14:paraId="4A88C4D1"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 xml:space="preserve">            REJECT. Route VERTICAL EXTENSION to the phase-2 appendix.</w:t>
      </w:r>
    </w:p>
    <w:p w14:paraId="7BF35DBD"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2. RANK   — order the survivors (CURATE, TRADE-UP) by</w:t>
      </w:r>
    </w:p>
    <w:p w14:paraId="4260175E" w14:textId="77777777" w:rsidR="00E85880" w:rsidRDefault="00000000">
      <w:pPr>
        <w:ind w:left="0" w:firstLine="0"/>
        <w:rPr>
          <w:rFonts w:ascii="Roboto Mono" w:eastAsia="Roboto Mono" w:hAnsi="Roboto Mono" w:cs="Roboto Mono"/>
          <w:color w:val="188038"/>
          <w:sz w:val="18"/>
          <w:szCs w:val="18"/>
        </w:rPr>
      </w:pPr>
      <w:r>
        <w:rPr>
          <w:rFonts w:ascii="Nova Mono" w:eastAsia="Nova Mono" w:hAnsi="Nova Mono" w:cs="Nova Mono"/>
          <w:color w:val="188038"/>
          <w:sz w:val="18"/>
          <w:szCs w:val="18"/>
        </w:rPr>
        <w:t xml:space="preserve">            O = (0.45·D + 0.35·G + 0.20·AAS) × (1 − CRS/100)^γ</w:t>
      </w:r>
    </w:p>
    <w:p w14:paraId="7B6D46CA" w14:textId="77777777" w:rsidR="00E85880" w:rsidRDefault="00000000">
      <w:pPr>
        <w:ind w:left="0" w:firstLine="0"/>
        <w:rPr>
          <w:rFonts w:ascii="Roboto Mono" w:eastAsia="Roboto Mono" w:hAnsi="Roboto Mono" w:cs="Roboto Mono"/>
          <w:color w:val="188038"/>
          <w:sz w:val="18"/>
          <w:szCs w:val="18"/>
        </w:rPr>
      </w:pPr>
      <w:r>
        <w:rPr>
          <w:rFonts w:ascii="Roboto Mono" w:eastAsia="Roboto Mono" w:hAnsi="Roboto Mono" w:cs="Roboto Mono"/>
          <w:color w:val="188038"/>
          <w:sz w:val="18"/>
          <w:szCs w:val="18"/>
        </w:rPr>
        <w:t>3. SELECT — top N to the curation cockpit, with the label printed on every card</w:t>
      </w:r>
    </w:p>
    <w:p w14:paraId="2A41A4D3" w14:textId="77777777" w:rsidR="00E85880" w:rsidRDefault="00000000">
      <w:pPr>
        <w:pStyle w:val="Heading4"/>
        <w:ind w:left="0" w:firstLine="0"/>
        <w:rPr>
          <w:b w:val="0"/>
          <w:bCs w:val="0"/>
          <w:i w:val="0"/>
          <w:iCs w:val="0"/>
          <w:color w:val="666666"/>
        </w:rPr>
      </w:pPr>
      <w:bookmarkStart w:id="15" w:name="_871iu4vod1r1" w:colFirst="0" w:colLast="0"/>
      <w:bookmarkEnd w:id="15"/>
      <w:r>
        <w:rPr>
          <w:b w:val="0"/>
          <w:bCs w:val="0"/>
          <w:i w:val="0"/>
          <w:iCs w:val="0"/>
          <w:color w:val="188038"/>
        </w:rPr>
        <w:t></w:t>
      </w:r>
      <w:r>
        <w:rPr>
          <w:b w:val="0"/>
          <w:bCs w:val="0"/>
          <w:i w:val="0"/>
          <w:iCs w:val="0"/>
          <w:color w:val="666666"/>
        </w:rPr>
        <w:t>How to present it</w:t>
      </w:r>
    </w:p>
    <w:p w14:paraId="335D0CCB" w14:textId="77777777" w:rsidR="00E85880" w:rsidRDefault="00000000">
      <w:pPr>
        <w:ind w:left="0" w:firstLine="0"/>
      </w:pPr>
      <w:r>
        <w:t xml:space="preserve">Plot AAS (y) against CRS (x) as a scatter, </w:t>
      </w:r>
      <w:r>
        <w:rPr>
          <w:b/>
          <w:bCs/>
        </w:rPr>
        <w:t>colour by decision label, size by demand</w:t>
      </w:r>
      <w:r>
        <w:t>. The price dimension enters through the label, not as a third axis. This keeps the plottability of a 2×2 while the labels carry the extra information, and it means one chart shows Pat both the measurement and the verdict.</w:t>
      </w:r>
    </w:p>
    <w:p w14:paraId="13C08EEE" w14:textId="77777777" w:rsidR="00E85880" w:rsidRDefault="00E85880">
      <w:pPr>
        <w:widowControl w:val="0"/>
        <w:ind w:left="0" w:firstLine="0"/>
      </w:pPr>
    </w:p>
    <w:p w14:paraId="5D38095D" w14:textId="77777777" w:rsidR="00E85880" w:rsidRDefault="00000000">
      <w:pPr>
        <w:ind w:left="0" w:firstLine="0"/>
      </w:pPr>
      <w:r>
        <w:t xml:space="preserve">The 40–60 AAS band and the 40–70 CRS band are the </w:t>
      </w:r>
      <w:r>
        <w:rPr>
          <w:b/>
          <w:bCs/>
        </w:rPr>
        <w:t>calibration zone</w:t>
      </w:r>
      <w:r>
        <w:t>, resolved in §5.6.</w:t>
      </w:r>
    </w:p>
    <w:p w14:paraId="49CC2ADF" w14:textId="77777777" w:rsidR="00E85880" w:rsidRDefault="00000000">
      <w:pPr>
        <w:pStyle w:val="Heading3"/>
        <w:rPr>
          <w:b w:val="0"/>
          <w:bCs w:val="0"/>
        </w:rPr>
      </w:pPr>
      <w:bookmarkStart w:id="16" w:name="_dm4yyrj4r9zl" w:colFirst="0" w:colLast="0"/>
      <w:bookmarkEnd w:id="16"/>
      <w:r>
        <w:rPr>
          <w:b w:val="0"/>
          <w:bCs w:val="0"/>
        </w:rPr>
        <w:lastRenderedPageBreak/>
        <w:t>5.5 1P Revenue at Risk and net contribution</w:t>
      </w:r>
    </w:p>
    <w:p w14:paraId="3895910B" w14:textId="77777777" w:rsidR="00E85880" w:rsidRDefault="00000000">
      <w:pPr>
        <w:ind w:left="0" w:firstLine="0"/>
        <w:rPr>
          <w:rFonts w:ascii="Roboto Mono" w:eastAsia="Roboto Mono" w:hAnsi="Roboto Mono" w:cs="Roboto Mono"/>
          <w:color w:val="188038"/>
          <w:sz w:val="18"/>
          <w:szCs w:val="18"/>
        </w:rPr>
      </w:pPr>
      <w:r>
        <w:rPr>
          <w:color w:val="188038"/>
        </w:rPr>
        <w:t></w:t>
      </w:r>
      <w:r>
        <w:rPr>
          <w:rFonts w:ascii="Roboto Mono" w:eastAsia="Roboto Mono" w:hAnsi="Roboto Mono" w:cs="Roboto Mono"/>
          <w:color w:val="188038"/>
          <w:sz w:val="18"/>
          <w:szCs w:val="18"/>
        </w:rPr>
        <w:t>RaR      = est_3P_demand × P(substitute | CRS) × 1P_unit_margin_est</w:t>
      </w:r>
    </w:p>
    <w:p w14:paraId="5CEA1947" w14:textId="77777777" w:rsidR="00E85880" w:rsidRDefault="00000000">
      <w:pPr>
        <w:ind w:left="0" w:firstLine="0"/>
        <w:rPr>
          <w:rFonts w:ascii="Roboto Mono" w:eastAsia="Roboto Mono" w:hAnsi="Roboto Mono" w:cs="Roboto Mono"/>
          <w:color w:val="188038"/>
          <w:sz w:val="18"/>
          <w:szCs w:val="18"/>
        </w:rPr>
      </w:pPr>
      <w:r>
        <w:rPr>
          <w:rFonts w:ascii="Nova Mono" w:eastAsia="Nova Mono" w:hAnsi="Nova Mono" w:cs="Nova Mono"/>
          <w:color w:val="188038"/>
          <w:sz w:val="18"/>
          <w:szCs w:val="18"/>
        </w:rPr>
        <w:t>Net      = (commission_rate × est_3P_GMV) + attach_margin − RaR</w:t>
      </w:r>
    </w:p>
    <w:p w14:paraId="1BD8A12C" w14:textId="77777777" w:rsidR="00E85880" w:rsidRDefault="00000000">
      <w:pPr>
        <w:widowControl w:val="0"/>
        <w:ind w:left="0" w:firstLine="0"/>
      </w:pPr>
      <w:r>
        <w:rPr>
          <w:color w:val="188038"/>
        </w:rPr>
        <w:t></w:t>
      </w:r>
    </w:p>
    <w:p w14:paraId="60ABC96F" w14:textId="77777777" w:rsidR="00E85880" w:rsidRDefault="00000000">
      <w:pPr>
        <w:ind w:left="0" w:firstLine="0"/>
      </w:pPr>
      <w:r>
        <w:rPr>
          <w:rFonts w:ascii="Roboto Mono" w:eastAsia="Roboto Mono" w:hAnsi="Roboto Mono" w:cs="Roboto Mono"/>
          <w:color w:val="188038"/>
        </w:rPr>
        <w:t>P(substitute | CRS)</w:t>
      </w:r>
      <w:r>
        <w:t xml:space="preserve"> is fitted, not assumed: a logistic regression of the human substitute labels (§7.2) on CRS. That gives a calibrated probability rather than a hand-waved one, and it is a five-line model.</w:t>
      </w:r>
    </w:p>
    <w:p w14:paraId="395B86DC" w14:textId="77777777" w:rsidR="00E85880" w:rsidRDefault="00E85880">
      <w:pPr>
        <w:widowControl w:val="0"/>
        <w:ind w:left="0" w:firstLine="0"/>
      </w:pPr>
    </w:p>
    <w:p w14:paraId="0751701B" w14:textId="77777777" w:rsidR="00E85880" w:rsidRDefault="00000000">
      <w:pPr>
        <w:ind w:left="0" w:firstLine="0"/>
      </w:pPr>
      <w:r>
        <w:rPr>
          <w:rFonts w:ascii="Roboto Mono" w:eastAsia="Roboto Mono" w:hAnsi="Roboto Mono" w:cs="Roboto Mono"/>
          <w:color w:val="188038"/>
        </w:rPr>
        <w:t>1P_unit_margin_est</w:t>
      </w:r>
      <w:r>
        <w:t xml:space="preserve"> is not available externally. Use a Staples-supplied category-level margin band — a single range per L2 is not an internal dataset and Pat can give it in one email. If he will not, run the model across three margin scenarios and show the sensitivity.</w:t>
      </w:r>
    </w:p>
    <w:p w14:paraId="5A46688A" w14:textId="77777777" w:rsidR="00E85880" w:rsidRDefault="00E85880">
      <w:pPr>
        <w:widowControl w:val="0"/>
        <w:ind w:left="0" w:firstLine="0"/>
      </w:pPr>
    </w:p>
    <w:p w14:paraId="5A2560D4" w14:textId="77777777" w:rsidR="00E85880" w:rsidRDefault="00000000">
      <w:pPr>
        <w:ind w:left="0" w:firstLine="0"/>
      </w:pPr>
      <w:r>
        <w:rPr>
          <w:b/>
          <w:bCs/>
        </w:rPr>
        <w:t>Undercut carries a second cost that RaR alone misses.</w:t>
      </w:r>
      <w:r>
        <w:t xml:space="preserve"> A </w:t>
      </w:r>
      <w:r>
        <w:rPr>
          <w:rFonts w:ascii="Nova Mono" w:eastAsia="Nova Mono" w:hAnsi="Nova Mono" w:cs="Nova Mono"/>
          <w:color w:val="188038"/>
        </w:rPr>
        <w:t>PPR ≤ 0.85</w:t>
      </w:r>
      <w:r>
        <w:t xml:space="preserve"> candidate does not only divert units, it resets the reference price for the archetype. Add a category-level term:</w:t>
      </w:r>
    </w:p>
    <w:p w14:paraId="67009807" w14:textId="77777777" w:rsidR="00E85880" w:rsidRDefault="00E85880">
      <w:pPr>
        <w:widowControl w:val="0"/>
        <w:ind w:left="0" w:firstLine="0"/>
      </w:pPr>
    </w:p>
    <w:p w14:paraId="1CD53DC8" w14:textId="77777777" w:rsidR="00E85880" w:rsidRDefault="00000000">
      <w:pPr>
        <w:ind w:left="0" w:firstLine="0"/>
        <w:rPr>
          <w:rFonts w:ascii="Roboto Mono" w:eastAsia="Roboto Mono" w:hAnsi="Roboto Mono" w:cs="Roboto Mono"/>
          <w:color w:val="188038"/>
          <w:sz w:val="18"/>
          <w:szCs w:val="18"/>
        </w:rPr>
      </w:pPr>
      <w:r>
        <w:rPr>
          <w:color w:val="188038"/>
        </w:rPr>
        <w:t></w:t>
      </w:r>
      <w:r>
        <w:rPr>
          <w:rFonts w:ascii="Nova Mono" w:eastAsia="Nova Mono" w:hAnsi="Nova Mono" w:cs="Nova Mono"/>
          <w:color w:val="188038"/>
          <w:sz w:val="18"/>
          <w:szCs w:val="18"/>
        </w:rPr>
        <w:t>Price_Deflation_Risk = 1P_category_revenue × (1 − PPR) × elasticity_assumption × exposure_share</w:t>
      </w:r>
    </w:p>
    <w:p w14:paraId="3BAFD116" w14:textId="77777777" w:rsidR="00E85880" w:rsidRDefault="00000000">
      <w:pPr>
        <w:widowControl w:val="0"/>
        <w:ind w:left="0" w:firstLine="0"/>
      </w:pPr>
      <w:r>
        <w:rPr>
          <w:color w:val="188038"/>
        </w:rPr>
        <w:t></w:t>
      </w:r>
    </w:p>
    <w:p w14:paraId="62F51201" w14:textId="77777777" w:rsidR="00E85880" w:rsidRDefault="00000000">
      <w:pPr>
        <w:ind w:left="0" w:firstLine="0"/>
      </w:pPr>
      <w:r>
        <w:rPr>
          <w:rFonts w:ascii="Roboto Mono" w:eastAsia="Roboto Mono" w:hAnsi="Roboto Mono" w:cs="Roboto Mono"/>
          <w:color w:val="188038"/>
        </w:rPr>
        <w:t>elasticity_assumption</w:t>
      </w:r>
      <w:r>
        <w:t xml:space="preserve"> and </w:t>
      </w:r>
      <w:r>
        <w:rPr>
          <w:rFonts w:ascii="Roboto Mono" w:eastAsia="Roboto Mono" w:hAnsi="Roboto Mono" w:cs="Roboto Mono"/>
          <w:color w:val="188038"/>
        </w:rPr>
        <w:t>exposure_share</w:t>
      </w:r>
      <w:r>
        <w:t xml:space="preserve"> are not externally observable at this stage, so present this as a labelled scenario band rather than a figure — the purpose is to make the risk visible in the readout, not to price it. It is the reason </w:t>
      </w:r>
      <w:r>
        <w:rPr>
          <w:rFonts w:ascii="Roboto Mono" w:eastAsia="Roboto Mono" w:hAnsi="Roboto Mono" w:cs="Roboto Mono"/>
          <w:color w:val="188038"/>
        </w:rPr>
        <w:t>UNDERCUT</w:t>
      </w:r>
      <w:r>
        <w:t xml:space="preserve"> gets a hard reject rather than a scored penalty.</w:t>
      </w:r>
    </w:p>
    <w:p w14:paraId="6EC0A879" w14:textId="77777777" w:rsidR="00E85880" w:rsidRDefault="00E85880">
      <w:pPr>
        <w:widowControl w:val="0"/>
        <w:ind w:left="0" w:firstLine="0"/>
      </w:pPr>
    </w:p>
    <w:p w14:paraId="700C0A50" w14:textId="77777777" w:rsidR="00E85880" w:rsidRDefault="00000000">
      <w:pPr>
        <w:ind w:left="0" w:firstLine="0"/>
      </w:pPr>
      <w:r>
        <w:t xml:space="preserve">Any archetype with negative </w:t>
      </w:r>
      <w:r>
        <w:rPr>
          <w:rFonts w:ascii="Roboto Mono" w:eastAsia="Roboto Mono" w:hAnsi="Roboto Mono" w:cs="Roboto Mono"/>
          <w:color w:val="188038"/>
        </w:rPr>
        <w:t>Net</w:t>
      </w:r>
      <w:r>
        <w:t xml:space="preserve"> under the central scenario is auto-flagged regardless of demand.</w:t>
      </w:r>
    </w:p>
    <w:p w14:paraId="18F48FAF" w14:textId="77777777" w:rsidR="00E85880" w:rsidRDefault="00000000">
      <w:pPr>
        <w:pStyle w:val="Heading3"/>
        <w:rPr>
          <w:b w:val="0"/>
          <w:bCs w:val="0"/>
        </w:rPr>
      </w:pPr>
      <w:bookmarkStart w:id="17" w:name="_1gqs6br2arlx" w:colFirst="0" w:colLast="0"/>
      <w:bookmarkEnd w:id="17"/>
      <w:r>
        <w:rPr>
          <w:b w:val="0"/>
          <w:bCs w:val="0"/>
        </w:rPr>
        <w:t>5.6 Calibration with Pat</w:t>
      </w:r>
    </w:p>
    <w:p w14:paraId="7938E059" w14:textId="77777777" w:rsidR="00E85880" w:rsidRDefault="00000000">
      <w:pPr>
        <w:ind w:left="0" w:firstLine="0"/>
      </w:pPr>
      <w:r>
        <w:t>Keep Teja's Step 6 — it is a good idea — but sharpen it.</w:t>
      </w:r>
    </w:p>
    <w:p w14:paraId="1603A3E1" w14:textId="77777777" w:rsidR="00E85880" w:rsidRDefault="00E85880">
      <w:pPr>
        <w:widowControl w:val="0"/>
        <w:ind w:left="0" w:firstLine="0"/>
      </w:pPr>
    </w:p>
    <w:p w14:paraId="24B2B7CC" w14:textId="77777777" w:rsidR="00E85880" w:rsidRDefault="00000000">
      <w:pPr>
        <w:numPr>
          <w:ilvl w:val="0"/>
          <w:numId w:val="3"/>
        </w:numPr>
      </w:pPr>
      <w:r>
        <w:t xml:space="preserve">Pre-select </w:t>
      </w:r>
      <w:r>
        <w:rPr>
          <w:b/>
          <w:bCs/>
        </w:rPr>
        <w:t>60 pairs stratified across the CRS range</w:t>
      </w:r>
      <w:r>
        <w:t>, over-sampling the 40–70 band (roughly 35 of the 60 from the ambiguous zone). Include 8 deliberate controls: 4 obvious substitutes and 4 obvious non-substitutes, to check the session itself is calibrated.</w:t>
      </w:r>
    </w:p>
    <w:p w14:paraId="7741C467" w14:textId="77777777" w:rsidR="00E85880" w:rsidRDefault="00000000">
      <w:pPr>
        <w:numPr>
          <w:ilvl w:val="0"/>
          <w:numId w:val="3"/>
        </w:numPr>
      </w:pPr>
      <w:r>
        <w:rPr>
          <w:b/>
          <w:bCs/>
        </w:rPr>
        <w:t>Stratify 20 of the 60 across the PPR bands</w:t>
      </w:r>
      <w:r>
        <w:rPr>
          <w:rFonts w:ascii="Arial Unicode MS" w:eastAsia="Arial Unicode MS" w:hAnsi="Arial Unicode MS" w:cs="Arial Unicode MS"/>
        </w:rPr>
        <w:t xml:space="preserve"> — roughly 7 at PPR ≥ 1.5, 7 in 0.85–1.5, 6 at ≤ 0.85, all with high CRS. These are the pairs that set the trade-up and undercut boundaries, which cannot be fitted from the substitute label alone.</w:t>
      </w:r>
    </w:p>
    <w:p w14:paraId="3118A592" w14:textId="77777777" w:rsidR="00E85880" w:rsidRDefault="00000000">
      <w:pPr>
        <w:numPr>
          <w:ilvl w:val="0"/>
          <w:numId w:val="3"/>
        </w:numPr>
      </w:pPr>
      <w:r>
        <w:t>Present side-by-side: candidate image + price on the left, nearest Staples 1P match + price on the right. Nothing else visible. No scores shown — showing the score anchors his answer and destroys the calibration.</w:t>
      </w:r>
    </w:p>
    <w:p w14:paraId="19949926" w14:textId="77777777" w:rsidR="00E85880" w:rsidRDefault="00000000">
      <w:pPr>
        <w:numPr>
          <w:ilvl w:val="0"/>
          <w:numId w:val="3"/>
        </w:numPr>
      </w:pPr>
      <w:r>
        <w:t xml:space="preserve">He answers one question per pair: </w:t>
      </w:r>
      <w:r>
        <w:rPr>
          <w:i/>
          <w:iCs/>
        </w:rPr>
        <w:t>"if we listed the left one, would it take sales from the right one?"</w:t>
      </w:r>
      <w:r>
        <w:t xml:space="preserve"> Yes / No / Depends.</w:t>
      </w:r>
    </w:p>
    <w:p w14:paraId="74C408BD" w14:textId="77777777" w:rsidR="00E85880" w:rsidRDefault="00000000">
      <w:pPr>
        <w:numPr>
          <w:ilvl w:val="0"/>
          <w:numId w:val="3"/>
        </w:numPr>
      </w:pPr>
      <w:r>
        <w:t xml:space="preserve">On the 20 PPR-stratified pairs, ask the second question: </w:t>
      </w:r>
      <w:r>
        <w:rPr>
          <w:i/>
          <w:iCs/>
        </w:rPr>
        <w:t>"and would you rather have the left one at that price, or not carry it at all?"</w:t>
      </w:r>
      <w:r>
        <w:t xml:space="preserve"> This is what separates a trade-up from a </w:t>
      </w:r>
      <w:r>
        <w:lastRenderedPageBreak/>
        <w:t>substitute in his head, and it is the only way to find where 1.5× actually sits for him. Expect the real boundary to be category-dependent — furniture tolerates a wider trade-up gap than consumables.</w:t>
      </w:r>
    </w:p>
    <w:p w14:paraId="1F9034DF" w14:textId="77777777" w:rsidR="00E85880" w:rsidRDefault="00000000">
      <w:pPr>
        <w:numPr>
          <w:ilvl w:val="0"/>
          <w:numId w:val="3"/>
        </w:numPr>
      </w:pPr>
      <w:r>
        <w:t>Fit the logistic model, set the CRS threshold at his implied decision boundary, and report the resulting AUC.</w:t>
      </w:r>
    </w:p>
    <w:p w14:paraId="7A490C60" w14:textId="77777777" w:rsidR="00E85880" w:rsidRDefault="00000000">
      <w:pPr>
        <w:numPr>
          <w:ilvl w:val="0"/>
          <w:numId w:val="3"/>
        </w:numPr>
      </w:pPr>
      <w:r>
        <w:t xml:space="preserve">Repeat for AAS with the question </w:t>
      </w:r>
      <w:r>
        <w:rPr>
          <w:i/>
          <w:iCs/>
        </w:rPr>
        <w:t>"does this belong on Staples?"</w:t>
      </w:r>
    </w:p>
    <w:p w14:paraId="5F6CB602" w14:textId="77777777" w:rsidR="00E85880" w:rsidRDefault="00000000">
      <w:pPr>
        <w:numPr>
          <w:ilvl w:val="0"/>
          <w:numId w:val="3"/>
        </w:numPr>
      </w:pPr>
      <w:r>
        <w:t xml:space="preserve">Re-run the labelling with the fitted thresholds and show him the </w:t>
      </w:r>
      <w:r>
        <w:rPr>
          <w:b/>
          <w:bCs/>
        </w:rPr>
        <w:t>label distribution</w:t>
      </w:r>
      <w:r>
        <w:t xml:space="preserve"> — how many CURATE, TRADE-UP, UNDERCUT and so on across the full candidate set. If the distribution looks wrong to him, that is a faster correction than arguing about any individual threshold.</w:t>
      </w:r>
    </w:p>
    <w:p w14:paraId="688F63BC" w14:textId="77777777" w:rsidR="00E85880" w:rsidRDefault="00E85880">
      <w:pPr>
        <w:widowControl w:val="0"/>
        <w:ind w:left="0" w:firstLine="0"/>
      </w:pPr>
    </w:p>
    <w:p w14:paraId="5FF20A8C" w14:textId="77777777" w:rsidR="00E85880" w:rsidRDefault="00000000">
      <w:pPr>
        <w:ind w:left="0" w:firstLine="0"/>
      </w:pPr>
      <w:r>
        <w:t>This session is also the single best relationship artefact in the project. Pat's thresholds, in Pat's words, encoded into the engine, shown back to him working, inside three weeks.</w:t>
      </w:r>
    </w:p>
    <w:p w14:paraId="638B823C" w14:textId="77777777" w:rsidR="00E85880" w:rsidRDefault="00000000">
      <w:pPr>
        <w:pStyle w:val="Heading3"/>
        <w:rPr>
          <w:b w:val="0"/>
          <w:bCs w:val="0"/>
        </w:rPr>
      </w:pPr>
      <w:bookmarkStart w:id="18" w:name="_hqglp11fcv78" w:colFirst="0" w:colLast="0"/>
      <w:bookmarkEnd w:id="18"/>
      <w:r>
        <w:rPr>
          <w:b w:val="0"/>
          <w:bCs w:val="0"/>
        </w:rPr>
        <w:t>5.7 Threshold hygiene</w:t>
      </w:r>
    </w:p>
    <w:p w14:paraId="7A102EC8" w14:textId="77777777" w:rsidR="00E85880" w:rsidRDefault="00000000">
      <w:pPr>
        <w:ind w:left="0" w:firstLine="0"/>
      </w:pPr>
      <w:r>
        <w:t>Four rules that must survive to implementation:</w:t>
      </w:r>
    </w:p>
    <w:p w14:paraId="59DF9994" w14:textId="77777777" w:rsidR="00E85880" w:rsidRDefault="00E85880">
      <w:pPr>
        <w:widowControl w:val="0"/>
        <w:ind w:left="0" w:firstLine="0"/>
      </w:pPr>
    </w:p>
    <w:p w14:paraId="7213A465" w14:textId="77777777" w:rsidR="00E85880" w:rsidRDefault="00000000">
      <w:pPr>
        <w:numPr>
          <w:ilvl w:val="0"/>
          <w:numId w:val="6"/>
        </w:numPr>
      </w:pPr>
      <w:r>
        <w:rPr>
          <w:b/>
          <w:bCs/>
        </w:rPr>
        <w:t>All thresholds are percentiles within an L2 peer group, never absolute cosine values.</w:t>
      </w:r>
      <w:r>
        <w:t xml:space="preserve"> Cosine distributions differ by encoder, by category density, and by corpus composition. A hardcoded 0.75 is not portable and will quietly break the day someone swaps the embedding model.</w:t>
      </w:r>
    </w:p>
    <w:p w14:paraId="7696AA87" w14:textId="77777777" w:rsidR="00E85880" w:rsidRDefault="00000000">
      <w:pPr>
        <w:numPr>
          <w:ilvl w:val="0"/>
          <w:numId w:val="6"/>
        </w:numPr>
      </w:pPr>
      <w:r>
        <w:rPr>
          <w:b/>
          <w:bCs/>
        </w:rPr>
        <w:t>Raw cosine values never appear in a deliverable number.</w:t>
      </w:r>
      <w:r>
        <w:t xml:space="preserve"> AAS and CRS are percentile-transformed before entering any composite, label rule or chart. If anyone downstream hardcodes a cosine threshold, it will break silently at the next model swap and nothing in the arithmetic will flag it.</w:t>
      </w:r>
    </w:p>
    <w:p w14:paraId="0D18F65B" w14:textId="77777777" w:rsidR="00E85880" w:rsidRDefault="00000000">
      <w:pPr>
        <w:numPr>
          <w:ilvl w:val="0"/>
          <w:numId w:val="6"/>
        </w:numPr>
      </w:pPr>
      <w:r>
        <w:rPr>
          <w:b/>
          <w:bCs/>
        </w:rPr>
        <w:t>PPR band boundaries are the one exception and are set per L2</w:t>
      </w:r>
      <w:r>
        <w:t>, not globally. A 1.5× trade-up gap that reads as a genuine upgrade in seating reads as gouging in copy paper. Fit them per category in §5.6.</w:t>
      </w:r>
    </w:p>
    <w:p w14:paraId="11AFB789" w14:textId="77777777" w:rsidR="00E85880" w:rsidRDefault="00000000">
      <w:pPr>
        <w:numPr>
          <w:ilvl w:val="0"/>
          <w:numId w:val="6"/>
        </w:numPr>
      </w:pPr>
      <w:r>
        <w:rPr>
          <w:b/>
          <w:bCs/>
        </w:rPr>
        <w:t>Re-run the full threshold fit whenever the embedding model changes.</w:t>
      </w:r>
      <w:r>
        <w:t xml:space="preserve"> Note this in the handover.</w:t>
      </w:r>
    </w:p>
    <w:sectPr w:rsidR="00E8588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E1E8351D-E460-42F4-AFB5-EA4A417629A1}"/>
  </w:font>
  <w:font w:name="Nova Mono">
    <w:charset w:val="00"/>
    <w:family w:val="auto"/>
    <w:pitch w:val="default"/>
    <w:embedRegular r:id="rId2" w:fontKey="{EF84DB1B-5CA2-4EA4-931C-1C0FCFF3F7E4}"/>
  </w:font>
  <w:font w:name="Calibri">
    <w:panose1 w:val="020F0502020204030204"/>
    <w:charset w:val="00"/>
    <w:family w:val="swiss"/>
    <w:pitch w:val="variable"/>
    <w:sig w:usb0="E4002EFF" w:usb1="C200247B" w:usb2="00000009" w:usb3="00000000" w:csb0="000001FF" w:csb1="00000000"/>
    <w:embedRegular r:id="rId3" w:fontKey="{C77E25D5-D996-4353-8ED4-E23237D94F79}"/>
  </w:font>
  <w:font w:name="Cambria">
    <w:panose1 w:val="02040503050406030204"/>
    <w:charset w:val="00"/>
    <w:family w:val="roman"/>
    <w:pitch w:val="variable"/>
    <w:sig w:usb0="E00006FF" w:usb1="420024FF" w:usb2="02000000" w:usb3="00000000" w:csb0="0000019F" w:csb1="00000000"/>
    <w:embedRegular r:id="rId4" w:fontKey="{B924CE21-715C-4608-8E6F-F345910D6C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5443C"/>
    <w:multiLevelType w:val="multilevel"/>
    <w:tmpl w:val="2CA07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3A223B"/>
    <w:multiLevelType w:val="multilevel"/>
    <w:tmpl w:val="C19049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6D3F3D"/>
    <w:multiLevelType w:val="multilevel"/>
    <w:tmpl w:val="7A00D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EC15F9"/>
    <w:multiLevelType w:val="multilevel"/>
    <w:tmpl w:val="4EF8DC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8C00F18"/>
    <w:multiLevelType w:val="multilevel"/>
    <w:tmpl w:val="7368C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E5A2F0D"/>
    <w:multiLevelType w:val="multilevel"/>
    <w:tmpl w:val="65E0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5304292">
    <w:abstractNumId w:val="0"/>
  </w:num>
  <w:num w:numId="2" w16cid:durableId="1922136368">
    <w:abstractNumId w:val="4"/>
  </w:num>
  <w:num w:numId="3" w16cid:durableId="1497766135">
    <w:abstractNumId w:val="3"/>
  </w:num>
  <w:num w:numId="4" w16cid:durableId="2098745256">
    <w:abstractNumId w:val="2"/>
  </w:num>
  <w:num w:numId="5" w16cid:durableId="820850930">
    <w:abstractNumId w:val="1"/>
  </w:num>
  <w:num w:numId="6" w16cid:durableId="19275744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880"/>
    <w:rsid w:val="00932BDC"/>
    <w:rsid w:val="00E85880"/>
    <w:rsid w:val="00FC5C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0A247"/>
  <w15:docId w15:val="{0A54E912-7CE3-4D58-89EA-E879E3F91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jc w:val="center"/>
      <w:outlineLvl w:val="0"/>
    </w:pPr>
    <w:rPr>
      <w:b/>
      <w:bCs/>
      <w:sz w:val="40"/>
      <w:szCs w:val="40"/>
      <w:highlight w:val="yellow"/>
    </w:rPr>
  </w:style>
  <w:style w:type="paragraph" w:styleId="Heading2">
    <w:name w:val="heading 2"/>
    <w:basedOn w:val="Normal"/>
    <w:next w:val="Normal"/>
    <w:uiPriority w:val="9"/>
    <w:unhideWhenUsed/>
    <w:qFormat/>
    <w:pPr>
      <w:keepNext/>
      <w:keepLines/>
      <w:spacing w:before="360" w:after="120"/>
      <w:ind w:left="0" w:firstLine="0"/>
      <w:outlineLvl w:val="1"/>
    </w:pPr>
    <w:rPr>
      <w:b/>
      <w:bCs/>
      <w:sz w:val="32"/>
      <w:szCs w:val="32"/>
      <w:u w:val="single"/>
    </w:rPr>
  </w:style>
  <w:style w:type="paragraph" w:styleId="Heading3">
    <w:name w:val="heading 3"/>
    <w:basedOn w:val="Normal"/>
    <w:next w:val="Normal"/>
    <w:uiPriority w:val="9"/>
    <w:unhideWhenUsed/>
    <w:qFormat/>
    <w:pPr>
      <w:keepNext/>
      <w:keepLines/>
      <w:spacing w:before="320" w:after="80"/>
      <w:ind w:left="0" w:firstLine="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i/>
      <w:iCs/>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3048</Words>
  <Characters>17374</Characters>
  <Application>Microsoft Office Word</Application>
  <DocSecurity>0</DocSecurity>
  <Lines>144</Lines>
  <Paragraphs>40</Paragraphs>
  <ScaleCrop>false</ScaleCrop>
  <Company/>
  <LinksUpToDate>false</LinksUpToDate>
  <CharactersWithSpaces>20382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DVN Sai Sandeep</cp:lastModifiedBy>
  <cp:revision>2</cp:revision>
  <dcterms:created xsi:type="dcterms:W3CDTF">2026-09-25T10:41:00Z</dcterms:created>
  <dcterms:modified xsi:type="dcterms:W3CDTF">2026-09-25T10:41:00Z</dcterms:modified>
</cp:coreProperties>
</file>