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Bdr>
          <w:bottom w:color="4f81bd" w:space="4" w:sz="8" w:val="single"/>
        </w:pBdr>
        <w:spacing w:after="300" w:line="240" w:lineRule="auto"/>
        <w:ind w:left="0" w:firstLine="0"/>
        <w:rPr>
          <w:rFonts w:ascii="Calibri" w:cs="Calibri" w:eastAsia="Calibri" w:hAnsi="Calibri"/>
          <w:color w:val="17365d"/>
        </w:rPr>
      </w:pPr>
      <w:r w:rsidDel="00000000" w:rsidR="00000000" w:rsidRPr="00000000">
        <w:rPr>
          <w:rFonts w:ascii="Calibri" w:cs="Calibri" w:eastAsia="Calibri" w:hAnsi="Calibri"/>
          <w:color w:val="17365d"/>
          <w:rtl w:val="0"/>
        </w:rPr>
        <w:t xml:space="preserve">Staples Marketplace Strategy &amp; POC</w:t>
      </w:r>
    </w:p>
    <w:p w:rsidR="00000000" w:rsidDel="00000000" w:rsidP="00000000" w:rsidRDefault="00000000" w:rsidRPr="00000000" w14:paraId="00000002">
      <w:pPr>
        <w:spacing w:after="200" w:line="276" w:lineRule="auto"/>
        <w:ind w:left="0" w:firstLine="0"/>
        <w:jc w:val="center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Meeting Notes &amp; Executive Summary</w:t>
        <w:br w:type="textWrapping"/>
        <w:t xml:space="preserve">Key Stakeholder: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Pat (Head of Staples Marketplace)</w:t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Target: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Q1 2027 Planning</w:t>
      </w:r>
    </w:p>
    <w:p w:rsidR="00000000" w:rsidDel="00000000" w:rsidP="00000000" w:rsidRDefault="00000000" w:rsidRPr="00000000" w14:paraId="00000003">
      <w:pPr>
        <w:spacing w:after="200" w:line="276" w:lineRule="auto"/>
        <w:ind w:left="0" w:firstLine="0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0" w:before="480" w:line="276" w:lineRule="auto"/>
        <w:ind w:left="0" w:firstLine="0"/>
        <w:jc w:val="left"/>
        <w:rPr>
          <w:rFonts w:ascii="Calibri" w:cs="Calibri" w:eastAsia="Calibri" w:hAnsi="Calibri"/>
          <w:color w:val="366091"/>
          <w:sz w:val="28"/>
          <w:szCs w:val="28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366091"/>
          <w:sz w:val="28"/>
          <w:szCs w:val="28"/>
          <w:shd w:fill="auto" w:val="clear"/>
          <w:rtl w:val="0"/>
        </w:rPr>
        <w:t xml:space="preserve">1. Strategic Mandate &amp; Curation Governance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276" w:lineRule="auto"/>
        <w:ind w:left="36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Curated Model: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Shift away from accepting full categories automatically; Pat will personally review all item submissions to ensure a highly curated catalog.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00" w:line="276" w:lineRule="auto"/>
        <w:ind w:left="36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1P Protection: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Prioritize true whitespace categories to avoid cannibalizing Staples' existing first-party (1P) core sales.</w:t>
      </w:r>
    </w:p>
    <w:p w:rsidR="00000000" w:rsidDel="00000000" w:rsidP="00000000" w:rsidRDefault="00000000" w:rsidRPr="00000000" w14:paraId="00000007">
      <w:pPr>
        <w:pStyle w:val="Heading1"/>
        <w:spacing w:after="0" w:before="480" w:line="276" w:lineRule="auto"/>
        <w:ind w:left="0" w:firstLine="0"/>
        <w:jc w:val="left"/>
        <w:rPr>
          <w:rFonts w:ascii="Calibri" w:cs="Calibri" w:eastAsia="Calibri" w:hAnsi="Calibri"/>
          <w:color w:val="366091"/>
          <w:sz w:val="28"/>
          <w:szCs w:val="28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366091"/>
          <w:sz w:val="28"/>
          <w:szCs w:val="28"/>
          <w:shd w:fill="auto" w:val="clear"/>
          <w:rtl w:val="0"/>
        </w:rPr>
        <w:t xml:space="preserve">2. Proof of Concept (POC) &amp; Strategy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276" w:lineRule="auto"/>
        <w:ind w:left="36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POC Objectives: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Deliver a category recommendation POC designed to build immediate momentum within adjacent core areas without straying too far from Staples' brand authority.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276" w:lineRule="auto"/>
        <w:ind w:left="36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"Core-Adjacent" Assortment Logic (The "White Chair" Strategy):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Target design and lifestyle extensions of standard core items that Staples currently lacks. For instance, offering stylish, aesthetic-focused office seating (e.g., modern white chairs prioritizing design over corporate ergonomics) allows Staples to compete with Wayfair without diluting core B2B offerings.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276" w:lineRule="auto"/>
        <w:ind w:left="36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Data Constraints: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Build the evaluation model and SKU recommendations entirely using external market intelligence and competitive benchmarks, as internal Staples data sets will not be available for the POC.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00" w:line="276" w:lineRule="auto"/>
        <w:ind w:left="36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Selection Filter: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Prioritize high-intent aesthetic/lifestyle gaps within existing core categories that protect 1P sales while capturing adjacent consumer intent.</w:t>
      </w:r>
    </w:p>
    <w:p w:rsidR="00000000" w:rsidDel="00000000" w:rsidP="00000000" w:rsidRDefault="00000000" w:rsidRPr="00000000" w14:paraId="0000000C">
      <w:pPr>
        <w:pStyle w:val="Heading1"/>
        <w:spacing w:after="0" w:before="480" w:line="276" w:lineRule="auto"/>
        <w:ind w:left="0" w:firstLine="0"/>
        <w:jc w:val="left"/>
        <w:rPr>
          <w:rFonts w:ascii="Calibri" w:cs="Calibri" w:eastAsia="Calibri" w:hAnsi="Calibri"/>
          <w:color w:val="366091"/>
          <w:sz w:val="28"/>
          <w:szCs w:val="28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366091"/>
          <w:sz w:val="28"/>
          <w:szCs w:val="28"/>
          <w:shd w:fill="auto" w:val="clear"/>
          <w:rtl w:val="0"/>
        </w:rPr>
        <w:t xml:space="preserve">3. Category Expansion &amp; Product Focus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276" w:lineRule="auto"/>
        <w:ind w:left="36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Core Whitespace Targets: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Expand into adjacent supply verticals, specifically general business/facility supplies.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00" w:line="276" w:lineRule="auto"/>
        <w:ind w:left="36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Seasonal Anchor: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Position Back-to-School (BTS) baskets as a major marketplace growth lever.</w:t>
      </w:r>
    </w:p>
    <w:p w:rsidR="00000000" w:rsidDel="00000000" w:rsidP="00000000" w:rsidRDefault="00000000" w:rsidRPr="00000000" w14:paraId="0000000F">
      <w:pPr>
        <w:pStyle w:val="Heading1"/>
        <w:spacing w:after="0" w:before="480" w:line="276" w:lineRule="auto"/>
        <w:ind w:left="0" w:firstLine="0"/>
        <w:jc w:val="left"/>
        <w:rPr>
          <w:rFonts w:ascii="Calibri" w:cs="Calibri" w:eastAsia="Calibri" w:hAnsi="Calibri"/>
          <w:color w:val="366091"/>
          <w:sz w:val="28"/>
          <w:szCs w:val="28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366091"/>
          <w:sz w:val="28"/>
          <w:szCs w:val="28"/>
          <w:shd w:fill="auto" w:val="clear"/>
          <w:rtl w:val="0"/>
        </w:rPr>
        <w:t xml:space="preserve">4. Basket Growth &amp; Customer Monetization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line="276" w:lineRule="auto"/>
        <w:ind w:left="36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Basket Attachment Strategy: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Protect existing customer basket value while actively looking to attach 1 to 2 additional marketplace items per checkout.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00" w:line="276" w:lineRule="auto"/>
        <w:ind w:left="36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Assortment Recommendations: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Prioritize quick wins and natural category extensions that seamlessly align with core buyer intent.</w:t>
      </w:r>
    </w:p>
    <w:p w:rsidR="00000000" w:rsidDel="00000000" w:rsidP="00000000" w:rsidRDefault="00000000" w:rsidRPr="00000000" w14:paraId="00000012">
      <w:pPr>
        <w:pStyle w:val="Heading1"/>
        <w:spacing w:after="0" w:before="480" w:line="276" w:lineRule="auto"/>
        <w:ind w:left="0" w:firstLine="0"/>
        <w:jc w:val="left"/>
        <w:rPr>
          <w:rFonts w:ascii="Calibri" w:cs="Calibri" w:eastAsia="Calibri" w:hAnsi="Calibri"/>
          <w:color w:val="366091"/>
          <w:sz w:val="28"/>
          <w:szCs w:val="28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366091"/>
          <w:sz w:val="28"/>
          <w:szCs w:val="28"/>
          <w:shd w:fill="auto" w:val="clear"/>
          <w:rtl w:val="0"/>
        </w:rPr>
        <w:t xml:space="preserve">5. Financial &amp; Revenue Model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line="276" w:lineRule="auto"/>
        <w:ind w:left="36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Predictable Commission Structure: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Establish a reliable 6-to-18-month revenue and commission roadmap.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00" w:line="276" w:lineRule="auto"/>
        <w:ind w:left="36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Phased Rollout: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Focus immediate efforts on quick-win SKUs that offer low friction and predictable seller margins.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ambr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  <w:ind w:left="1440" w:hanging="36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jc w:val="center"/>
    </w:pPr>
    <w:rPr>
      <w:b w:val="1"/>
      <w:bCs w:val="1"/>
      <w:sz w:val="40"/>
      <w:szCs w:val="40"/>
      <w:highlight w:val="yellow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ind w:left="0" w:firstLine="0"/>
    </w:pPr>
    <w:rPr>
      <w:b w:val="1"/>
      <w:bCs w:val="1"/>
      <w:sz w:val="32"/>
      <w:szCs w:val="32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ind w:left="0" w:firstLine="0"/>
    </w:pPr>
    <w:rPr>
      <w:b w:val="1"/>
      <w:bCs w:val="1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i w:val="1"/>
      <w:i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  <w:jc w:val="center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