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DA7F" w14:textId="5FB37178" w:rsidR="00603A5F" w:rsidRDefault="00603A5F">
      <w:r>
        <w:t xml:space="preserve">Cognitive Engagement Coding framework (adapted from Chi and Wylie, 2014). </w:t>
      </w:r>
      <w:r w:rsidR="00D35666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1567"/>
        <w:gridCol w:w="4098"/>
        <w:gridCol w:w="1809"/>
      </w:tblGrid>
      <w:tr w:rsidR="00D35666" w14:paraId="7234712E" w14:textId="183EBA31" w:rsidTr="00D35666"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</w:tcPr>
          <w:p w14:paraId="7598A184" w14:textId="01A67906" w:rsidR="006562EF" w:rsidRPr="00603A5F" w:rsidRDefault="006562EF">
            <w:pPr>
              <w:rPr>
                <w:b/>
                <w:bCs/>
              </w:rPr>
            </w:pPr>
            <w:r w:rsidRPr="00603A5F">
              <w:rPr>
                <w:b/>
                <w:bCs/>
              </w:rPr>
              <w:t xml:space="preserve">ICAP Framework 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</w:tcPr>
          <w:p w14:paraId="7B79295B" w14:textId="11714CC4" w:rsidR="006562EF" w:rsidRPr="00603A5F" w:rsidRDefault="006562EF">
            <w:pPr>
              <w:rPr>
                <w:b/>
                <w:bCs/>
              </w:rPr>
            </w:pPr>
            <w:r w:rsidRPr="00603A5F">
              <w:rPr>
                <w:b/>
                <w:bCs/>
              </w:rPr>
              <w:t>Adapted framework</w:t>
            </w:r>
          </w:p>
        </w:tc>
        <w:tc>
          <w:tcPr>
            <w:tcW w:w="4098" w:type="dxa"/>
            <w:tcBorders>
              <w:top w:val="single" w:sz="4" w:space="0" w:color="auto"/>
              <w:bottom w:val="single" w:sz="4" w:space="0" w:color="auto"/>
            </w:tcBorders>
          </w:tcPr>
          <w:p w14:paraId="10E862DB" w14:textId="767367E1" w:rsidR="006562EF" w:rsidRPr="00603A5F" w:rsidRDefault="006562EF">
            <w:pPr>
              <w:rPr>
                <w:b/>
                <w:bCs/>
              </w:rPr>
            </w:pPr>
            <w:r w:rsidRPr="00603A5F">
              <w:rPr>
                <w:b/>
                <w:bCs/>
              </w:rPr>
              <w:t>Description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14:paraId="39799AE1" w14:textId="52F20CDE" w:rsidR="006562EF" w:rsidRPr="00603A5F" w:rsidRDefault="006562E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</w:tr>
      <w:tr w:rsidR="00D35666" w14:paraId="055A0839" w14:textId="0937829B" w:rsidTr="00D35666">
        <w:trPr>
          <w:trHeight w:val="1692"/>
        </w:trPr>
        <w:tc>
          <w:tcPr>
            <w:tcW w:w="1552" w:type="dxa"/>
            <w:tcBorders>
              <w:top w:val="single" w:sz="4" w:space="0" w:color="auto"/>
            </w:tcBorders>
          </w:tcPr>
          <w:p w14:paraId="60E6EBEB" w14:textId="3A8B52FC" w:rsidR="006562EF" w:rsidRPr="00603A5F" w:rsidRDefault="006562EF">
            <w:pPr>
              <w:rPr>
                <w:i/>
                <w:iCs/>
              </w:rPr>
            </w:pPr>
            <w:r>
              <w:t xml:space="preserve">Passive </w:t>
            </w:r>
            <w:r>
              <w:rPr>
                <w:i/>
                <w:iCs/>
              </w:rPr>
              <w:t>Receiving</w:t>
            </w: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15F57A1B" w14:textId="38D47D6C" w:rsidR="006562EF" w:rsidRDefault="006562EF">
            <w:r>
              <w:t>No or Minimal Engagement</w:t>
            </w:r>
          </w:p>
        </w:tc>
        <w:tc>
          <w:tcPr>
            <w:tcW w:w="4098" w:type="dxa"/>
            <w:tcBorders>
              <w:top w:val="single" w:sz="4" w:space="0" w:color="auto"/>
            </w:tcBorders>
          </w:tcPr>
          <w:p w14:paraId="309D5405" w14:textId="3B65D295" w:rsidR="006562EF" w:rsidRDefault="006562EF" w:rsidP="006562EF">
            <w:r>
              <w:t>The student gives no response or a very minimal one that doesn’t advance the conversation. This corresponds to passive behaviour – little to no cognitive effort is observable.</w:t>
            </w:r>
          </w:p>
        </w:tc>
        <w:tc>
          <w:tcPr>
            <w:tcW w:w="1809" w:type="dxa"/>
            <w:tcBorders>
              <w:top w:val="single" w:sz="4" w:space="0" w:color="auto"/>
            </w:tcBorders>
          </w:tcPr>
          <w:p w14:paraId="319A381F" w14:textId="681D96DF" w:rsidR="006562EF" w:rsidRDefault="006562EF">
            <w:r>
              <w:t>silence, “yeah”, “OK”, copying part of the AI question without a real response.</w:t>
            </w:r>
          </w:p>
        </w:tc>
      </w:tr>
      <w:tr w:rsidR="00D35666" w14:paraId="6A89B17D" w14:textId="0467BF81" w:rsidTr="00D35666">
        <w:trPr>
          <w:trHeight w:val="1839"/>
        </w:trPr>
        <w:tc>
          <w:tcPr>
            <w:tcW w:w="1552" w:type="dxa"/>
          </w:tcPr>
          <w:p w14:paraId="69FA1ED6" w14:textId="794B1C64" w:rsidR="006562EF" w:rsidRPr="00603A5F" w:rsidRDefault="006562EF">
            <w:pPr>
              <w:rPr>
                <w:i/>
                <w:iCs/>
              </w:rPr>
            </w:pPr>
            <w:r>
              <w:t xml:space="preserve">Active </w:t>
            </w:r>
            <w:r>
              <w:rPr>
                <w:i/>
                <w:iCs/>
              </w:rPr>
              <w:t>Manipulating</w:t>
            </w:r>
          </w:p>
        </w:tc>
        <w:tc>
          <w:tcPr>
            <w:tcW w:w="1567" w:type="dxa"/>
          </w:tcPr>
          <w:p w14:paraId="3B7DF76C" w14:textId="0A77FE1B" w:rsidR="006562EF" w:rsidRDefault="006562EF">
            <w:r>
              <w:t>Basic Active Engagement</w:t>
            </w:r>
          </w:p>
        </w:tc>
        <w:tc>
          <w:tcPr>
            <w:tcW w:w="4098" w:type="dxa"/>
          </w:tcPr>
          <w:p w14:paraId="728E253E" w14:textId="4AFDCDD7" w:rsidR="006562EF" w:rsidRDefault="006562EF">
            <w:r>
              <w:t>The student responds to the AI’s query or prompt correctly, but only using the given information. This could be a one-sentence answer or a direct solution with no explanation. It shows the student is participating, but at a surface level.</w:t>
            </w:r>
          </w:p>
        </w:tc>
        <w:tc>
          <w:tcPr>
            <w:tcW w:w="1809" w:type="dxa"/>
          </w:tcPr>
          <w:p w14:paraId="1B2A5ADB" w14:textId="0EEE8C6E" w:rsidR="006562EF" w:rsidRDefault="006562EF">
            <w:r>
              <w:t>“C”, “Data visualisation”, “It’s classification.” (no reasoning or examples).</w:t>
            </w:r>
          </w:p>
        </w:tc>
      </w:tr>
      <w:tr w:rsidR="00D35666" w14:paraId="59C835AF" w14:textId="42EC56BB" w:rsidTr="00D35666">
        <w:trPr>
          <w:trHeight w:val="3395"/>
        </w:trPr>
        <w:tc>
          <w:tcPr>
            <w:tcW w:w="1552" w:type="dxa"/>
          </w:tcPr>
          <w:p w14:paraId="3F6AFEA6" w14:textId="23226B34" w:rsidR="006562EF" w:rsidRPr="00603A5F" w:rsidRDefault="006562EF">
            <w:pPr>
              <w:rPr>
                <w:i/>
                <w:iCs/>
              </w:rPr>
            </w:pPr>
            <w:r>
              <w:t xml:space="preserve">Constructive </w:t>
            </w:r>
            <w:r>
              <w:rPr>
                <w:i/>
                <w:iCs/>
              </w:rPr>
              <w:t>Generating</w:t>
            </w:r>
          </w:p>
        </w:tc>
        <w:tc>
          <w:tcPr>
            <w:tcW w:w="1567" w:type="dxa"/>
          </w:tcPr>
          <w:p w14:paraId="06B7F1E9" w14:textId="2B27B8D7" w:rsidR="006562EF" w:rsidRDefault="006562EF">
            <w:r>
              <w:t>Reflective/</w:t>
            </w:r>
            <w:r w:rsidR="00D35666">
              <w:t xml:space="preserve"> </w:t>
            </w:r>
            <w:r>
              <w:t>Constructive Engagement</w:t>
            </w:r>
          </w:p>
        </w:tc>
        <w:tc>
          <w:tcPr>
            <w:tcW w:w="4098" w:type="dxa"/>
          </w:tcPr>
          <w:p w14:paraId="3EDC03BC" w14:textId="4F2CE8EF" w:rsidR="006562EF" w:rsidRDefault="006562EF">
            <w:r>
              <w:t>The student not only answers but also elaborates, explains their thinking, or contributes a new idea. For instance, they might justify an answer (“I think the reason is X because...”) or connect to something learned earlier. This aligns with the Constructive level of engagement – the message contains original input from the student. Such responses indicate the student is thinking deeply and investing effort in the discussion.</w:t>
            </w:r>
          </w:p>
        </w:tc>
        <w:tc>
          <w:tcPr>
            <w:tcW w:w="1809" w:type="dxa"/>
          </w:tcPr>
          <w:p w14:paraId="7FC80F3C" w14:textId="6E0B012C" w:rsidR="006562EF" w:rsidRDefault="006562EF">
            <w:r>
              <w:t>“Data visualisation isn’t part of preprocessing because it’s used later to explore patterns.”, “This reminds me of what we saw in week 2.”</w:t>
            </w:r>
          </w:p>
        </w:tc>
      </w:tr>
      <w:tr w:rsidR="00D35666" w14:paraId="485B77F2" w14:textId="38FD5FB1" w:rsidTr="00D35666">
        <w:trPr>
          <w:trHeight w:val="3402"/>
        </w:trPr>
        <w:tc>
          <w:tcPr>
            <w:tcW w:w="1552" w:type="dxa"/>
          </w:tcPr>
          <w:p w14:paraId="70C063B2" w14:textId="1E481D85" w:rsidR="006562EF" w:rsidRPr="00603A5F" w:rsidRDefault="006562EF">
            <w:pPr>
              <w:rPr>
                <w:i/>
                <w:iCs/>
              </w:rPr>
            </w:pPr>
            <w:r>
              <w:t xml:space="preserve">Interactive </w:t>
            </w:r>
            <w:r>
              <w:rPr>
                <w:i/>
                <w:iCs/>
              </w:rPr>
              <w:t>Dialoguing</w:t>
            </w:r>
          </w:p>
        </w:tc>
        <w:tc>
          <w:tcPr>
            <w:tcW w:w="1567" w:type="dxa"/>
          </w:tcPr>
          <w:p w14:paraId="1FBD9DCD" w14:textId="60F4A275" w:rsidR="006562EF" w:rsidRDefault="006562EF">
            <w:r>
              <w:t>Interactive Engagement</w:t>
            </w:r>
          </w:p>
        </w:tc>
        <w:tc>
          <w:tcPr>
            <w:tcW w:w="4098" w:type="dxa"/>
          </w:tcPr>
          <w:p w14:paraId="152EC0C3" w14:textId="636C4E8B" w:rsidR="006562EF" w:rsidRDefault="006562EF">
            <w:r>
              <w:t xml:space="preserve">The student actively builds a dialogue with the AI. Their message might ask a follow-up question, seek clarification, or propose a hypothesis, prompting further exchange. They might take the AI’s previous answer and extend it. This category mirrors ICAP’s Interactive mode, </w:t>
            </w:r>
            <w:r w:rsidR="00D35666">
              <w:t>showcasing the highest engagement – the student essentially treats</w:t>
            </w:r>
            <w:r>
              <w:t xml:space="preserve"> the AI as a learning partner, and their contributions drive a collaborative exploration of the topic.</w:t>
            </w:r>
          </w:p>
        </w:tc>
        <w:tc>
          <w:tcPr>
            <w:tcW w:w="1809" w:type="dxa"/>
          </w:tcPr>
          <w:p w14:paraId="6B4CDC8B" w14:textId="0A267785" w:rsidR="006562EF" w:rsidRDefault="006562EF">
            <w:r>
              <w:t xml:space="preserve">“Why wouldn’t data visualisation be preprocessing?”, “Could this apply to time-series data too?”, “Okay, so if that’s true, could we also say...?”. </w:t>
            </w:r>
          </w:p>
        </w:tc>
      </w:tr>
      <w:tr w:rsidR="00D35666" w14:paraId="7F89E487" w14:textId="7EB5B921" w:rsidTr="00D35666">
        <w:trPr>
          <w:trHeight w:val="2016"/>
        </w:trPr>
        <w:tc>
          <w:tcPr>
            <w:tcW w:w="1552" w:type="dxa"/>
            <w:tcBorders>
              <w:bottom w:val="single" w:sz="4" w:space="0" w:color="auto"/>
            </w:tcBorders>
          </w:tcPr>
          <w:p w14:paraId="78155AC6" w14:textId="77777777" w:rsidR="006562EF" w:rsidRDefault="006562EF"/>
        </w:tc>
        <w:tc>
          <w:tcPr>
            <w:tcW w:w="1567" w:type="dxa"/>
            <w:tcBorders>
              <w:bottom w:val="single" w:sz="4" w:space="0" w:color="auto"/>
            </w:tcBorders>
          </w:tcPr>
          <w:p w14:paraId="6648524B" w14:textId="3FBC3D98" w:rsidR="006562EF" w:rsidRDefault="006562EF">
            <w:r>
              <w:t xml:space="preserve">Off-Topic or Procedural Talk </w:t>
            </w:r>
          </w:p>
        </w:tc>
        <w:tc>
          <w:tcPr>
            <w:tcW w:w="4098" w:type="dxa"/>
            <w:tcBorders>
              <w:bottom w:val="single" w:sz="4" w:space="0" w:color="auto"/>
            </w:tcBorders>
          </w:tcPr>
          <w:p w14:paraId="187449BB" w14:textId="54063C77" w:rsidR="006562EF" w:rsidRDefault="006562EF">
            <w:r>
              <w:t>Sometimes students stray from the task or engage in meta-conversation. Such messages might be coded separately since they don’t reflect engagement with content. (These could be considered non-engaged cognitively, even if the student is active in another sense.)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14:paraId="1C8C11EA" w14:textId="087B71EC" w:rsidR="006562EF" w:rsidRDefault="006562EF">
            <w:r>
              <w:t>“What’s the point of this?”, “I don’t want to do this”, blank message, joke irrelevant to task.</w:t>
            </w:r>
          </w:p>
        </w:tc>
      </w:tr>
    </w:tbl>
    <w:p w14:paraId="05D06435" w14:textId="48936ADF" w:rsidR="006562EF" w:rsidRDefault="00D35666">
      <w:r w:rsidRPr="00D35666">
        <w:rPr>
          <w:b/>
          <w:bCs/>
        </w:rPr>
        <w:t>NOTE:</w:t>
      </w:r>
      <w:r>
        <w:t xml:space="preserve"> The purpose of this framework is to identify how engaged a learner is and categorise depth</w:t>
      </w:r>
      <w:r w:rsidR="006562EF">
        <w:br w:type="page"/>
      </w:r>
    </w:p>
    <w:p w14:paraId="38FF4891" w14:textId="5DE9717B" w:rsidR="00603A5F" w:rsidRDefault="006562EF" w:rsidP="00603A5F">
      <w:r>
        <w:lastRenderedPageBreak/>
        <w:t>Knowledge Construction</w:t>
      </w:r>
      <w:r w:rsidR="00D35666">
        <w:t xml:space="preserve"> process</w:t>
      </w:r>
      <w:r>
        <w:t xml:space="preserve"> framework (Adapted from Song et al., 2025).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3120"/>
        <w:gridCol w:w="3067"/>
      </w:tblGrid>
      <w:tr w:rsidR="009A38BF" w14:paraId="231103F7" w14:textId="77777777" w:rsidTr="009A38BF"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</w:tcPr>
          <w:p w14:paraId="29D376A5" w14:textId="5839A4E3" w:rsidR="009A38BF" w:rsidRPr="004330D2" w:rsidRDefault="009A38BF" w:rsidP="00603A5F">
            <w:pPr>
              <w:rPr>
                <w:b/>
                <w:bCs/>
              </w:rPr>
            </w:pPr>
            <w:r w:rsidRPr="004330D2">
              <w:rPr>
                <w:b/>
                <w:bCs/>
              </w:rPr>
              <w:t>CI-PCD Framework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</w:tcBorders>
          </w:tcPr>
          <w:p w14:paraId="307B6618" w14:textId="1655D135" w:rsidR="009A38BF" w:rsidRPr="004330D2" w:rsidRDefault="009A38BF" w:rsidP="00603A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Adapted </w:t>
            </w:r>
            <w:r w:rsidRPr="004330D2">
              <w:rPr>
                <w:b/>
                <w:bCs/>
              </w:rPr>
              <w:t>Description</w:t>
            </w:r>
          </w:p>
        </w:tc>
        <w:tc>
          <w:tcPr>
            <w:tcW w:w="3067" w:type="dxa"/>
            <w:tcBorders>
              <w:top w:val="single" w:sz="4" w:space="0" w:color="auto"/>
              <w:bottom w:val="single" w:sz="4" w:space="0" w:color="auto"/>
            </w:tcBorders>
          </w:tcPr>
          <w:p w14:paraId="09086B82" w14:textId="2528EC73" w:rsidR="009A38BF" w:rsidRPr="004330D2" w:rsidRDefault="009A38BF" w:rsidP="00603A5F">
            <w:pPr>
              <w:rPr>
                <w:b/>
                <w:bCs/>
              </w:rPr>
            </w:pPr>
            <w:r w:rsidRPr="004330D2">
              <w:rPr>
                <w:b/>
                <w:bCs/>
              </w:rPr>
              <w:t>Examples</w:t>
            </w:r>
          </w:p>
        </w:tc>
      </w:tr>
      <w:tr w:rsidR="009A38BF" w:rsidRPr="00F1216B" w14:paraId="11B972B9" w14:textId="77777777" w:rsidTr="009A38BF">
        <w:trPr>
          <w:trHeight w:val="1234"/>
        </w:trPr>
        <w:tc>
          <w:tcPr>
            <w:tcW w:w="2829" w:type="dxa"/>
            <w:tcBorders>
              <w:top w:val="single" w:sz="4" w:space="0" w:color="auto"/>
            </w:tcBorders>
            <w:hideMark/>
          </w:tcPr>
          <w:p w14:paraId="6BC329F7" w14:textId="387AECBE" w:rsidR="009A38BF" w:rsidRPr="00F1216B" w:rsidRDefault="009A38BF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Prior Knowledge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Recall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</w:tcBorders>
            <w:hideMark/>
          </w:tcPr>
          <w:p w14:paraId="392DD4ED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Student demonstrates recall of facts, definitions, or previously learned content without further elaboration.</w:t>
            </w:r>
          </w:p>
        </w:tc>
        <w:tc>
          <w:tcPr>
            <w:tcW w:w="3067" w:type="dxa"/>
            <w:tcBorders>
              <w:top w:val="single" w:sz="4" w:space="0" w:color="auto"/>
            </w:tcBorders>
            <w:hideMark/>
          </w:tcPr>
          <w:p w14:paraId="2E4E6D07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“Data preprocessing involves data cleaning.”</w:t>
            </w:r>
          </w:p>
        </w:tc>
      </w:tr>
      <w:tr w:rsidR="009A38BF" w:rsidRPr="00F1216B" w14:paraId="2ABCAF8C" w14:textId="77777777" w:rsidTr="009A38BF">
        <w:trPr>
          <w:trHeight w:val="1558"/>
        </w:trPr>
        <w:tc>
          <w:tcPr>
            <w:tcW w:w="2829" w:type="dxa"/>
            <w:hideMark/>
          </w:tcPr>
          <w:p w14:paraId="5B27034C" w14:textId="62E4E8E5" w:rsidR="009A38BF" w:rsidRPr="00F1216B" w:rsidRDefault="009A38BF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Subjective Expression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Personal/Opinion-Based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</w:p>
        </w:tc>
        <w:tc>
          <w:tcPr>
            <w:tcW w:w="3120" w:type="dxa"/>
            <w:hideMark/>
          </w:tcPr>
          <w:p w14:paraId="02B65640" w14:textId="03DC5EBE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The student expresses personal feelings, opinions, or experiences relevant to the task, but without analytical depth or supporting 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evidence.</w:t>
            </w:r>
          </w:p>
        </w:tc>
        <w:tc>
          <w:tcPr>
            <w:tcW w:w="3067" w:type="dxa"/>
            <w:hideMark/>
          </w:tcPr>
          <w:p w14:paraId="28178E59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“I find preprocessing tricky.”, “I prefer classification tasks to clustering.”</w:t>
            </w:r>
          </w:p>
        </w:tc>
      </w:tr>
      <w:tr w:rsidR="009A38BF" w:rsidRPr="00F1216B" w14:paraId="77CF1446" w14:textId="77777777" w:rsidTr="009A38BF">
        <w:trPr>
          <w:trHeight w:val="1297"/>
        </w:trPr>
        <w:tc>
          <w:tcPr>
            <w:tcW w:w="2829" w:type="dxa"/>
            <w:hideMark/>
          </w:tcPr>
          <w:p w14:paraId="65902EBC" w14:textId="65D8C7CB" w:rsidR="009A38BF" w:rsidRPr="00F1216B" w:rsidRDefault="009A38BF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Elaboration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Explanatory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3120" w:type="dxa"/>
            <w:hideMark/>
          </w:tcPr>
          <w:p w14:paraId="675DD9A8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Student provides additional detail or clarification about their answer, showing deeper understanding or reasoning.</w:t>
            </w:r>
          </w:p>
        </w:tc>
        <w:tc>
          <w:tcPr>
            <w:tcW w:w="3067" w:type="dxa"/>
            <w:hideMark/>
          </w:tcPr>
          <w:p w14:paraId="1673E96F" w14:textId="091B54E6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Normalisation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helps bring features to the same scale, making comparison easier.”</w:t>
            </w:r>
          </w:p>
        </w:tc>
      </w:tr>
      <w:tr w:rsidR="009A38BF" w:rsidRPr="00F1216B" w14:paraId="7AE82D62" w14:textId="77777777" w:rsidTr="009A38BF">
        <w:trPr>
          <w:trHeight w:val="1542"/>
        </w:trPr>
        <w:tc>
          <w:tcPr>
            <w:tcW w:w="2829" w:type="dxa"/>
            <w:hideMark/>
          </w:tcPr>
          <w:p w14:paraId="4BF873CE" w14:textId="170F0C98" w:rsidR="009A38BF" w:rsidRPr="00F1216B" w:rsidRDefault="009A38BF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Coordination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Integrative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3120" w:type="dxa"/>
            <w:hideMark/>
          </w:tcPr>
          <w:p w14:paraId="157F8E4A" w14:textId="15EFA09A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synthesises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or explicitly connects multiple concepts, topics, or previous points within their message.</w:t>
            </w:r>
          </w:p>
        </w:tc>
        <w:tc>
          <w:tcPr>
            <w:tcW w:w="3067" w:type="dxa"/>
            <w:hideMark/>
          </w:tcPr>
          <w:p w14:paraId="5982684D" w14:textId="45807AB8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“Both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normalisation and standardisation make data comparable, but normalisation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restricts data between 0 and 1.”</w:t>
            </w:r>
          </w:p>
        </w:tc>
      </w:tr>
      <w:tr w:rsidR="009A38BF" w:rsidRPr="00F1216B" w14:paraId="318911CE" w14:textId="77777777" w:rsidTr="009A38BF">
        <w:trPr>
          <w:trHeight w:val="1564"/>
        </w:trPr>
        <w:tc>
          <w:tcPr>
            <w:tcW w:w="2829" w:type="dxa"/>
            <w:hideMark/>
          </w:tcPr>
          <w:p w14:paraId="0A6E32F8" w14:textId="70A3E993" w:rsidR="009A38BF" w:rsidRPr="00F1216B" w:rsidRDefault="009A38BF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Speculation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Hypothetical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</w:p>
        </w:tc>
        <w:tc>
          <w:tcPr>
            <w:tcW w:w="3120" w:type="dxa"/>
            <w:hideMark/>
          </w:tcPr>
          <w:p w14:paraId="40A60ACB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Student goes beyond provided information, making predictions, posing hypothetical scenarios, or suggesting novel applications.</w:t>
            </w:r>
          </w:p>
        </w:tc>
        <w:tc>
          <w:tcPr>
            <w:tcW w:w="3067" w:type="dxa"/>
            <w:hideMark/>
          </w:tcPr>
          <w:p w14:paraId="3CF8D827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“I wonder if preprocessing steps differ significantly when handling real-time streaming data.”</w:t>
            </w:r>
          </w:p>
        </w:tc>
      </w:tr>
      <w:tr w:rsidR="009A38BF" w:rsidRPr="00F1216B" w14:paraId="0713B9DC" w14:textId="77777777" w:rsidTr="00607E36">
        <w:tc>
          <w:tcPr>
            <w:tcW w:w="2829" w:type="dxa"/>
            <w:hideMark/>
          </w:tcPr>
          <w:p w14:paraId="3D3067C3" w14:textId="17E9752A" w:rsidR="009A38BF" w:rsidRPr="00F1216B" w:rsidRDefault="009A38BF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Construction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Dialogic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</w:p>
        </w:tc>
        <w:tc>
          <w:tcPr>
            <w:tcW w:w="3120" w:type="dxa"/>
            <w:hideMark/>
          </w:tcPr>
          <w:p w14:paraId="05096C4D" w14:textId="77777777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Student actively interacts with AI’s previous responses, extending dialogue by challenging, refining, or co-developing ideas.</w:t>
            </w:r>
          </w:p>
        </w:tc>
        <w:tc>
          <w:tcPr>
            <w:tcW w:w="3067" w:type="dxa"/>
            <w:hideMark/>
          </w:tcPr>
          <w:p w14:paraId="558C6BE3" w14:textId="4079EA25" w:rsidR="009A38BF" w:rsidRPr="00F1216B" w:rsidRDefault="009A38BF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“If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normalisation isn't suitable here, would standardisation</w:t>
            </w:r>
            <w:r w:rsidRPr="00F12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be better? Could you explain why?”</w:t>
            </w:r>
          </w:p>
        </w:tc>
      </w:tr>
      <w:tr w:rsidR="00607E36" w:rsidRPr="00F1216B" w14:paraId="7416C094" w14:textId="77777777" w:rsidTr="009A38BF">
        <w:tc>
          <w:tcPr>
            <w:tcW w:w="2829" w:type="dxa"/>
            <w:tcBorders>
              <w:bottom w:val="single" w:sz="4" w:space="0" w:color="auto"/>
            </w:tcBorders>
          </w:tcPr>
          <w:p w14:paraId="1CB4339C" w14:textId="1EB3ED30" w:rsidR="00607E36" w:rsidRPr="00F1216B" w:rsidRDefault="00607E36" w:rsidP="009A38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Other</w:t>
            </w:r>
          </w:p>
        </w:tc>
        <w:tc>
          <w:tcPr>
            <w:tcW w:w="3120" w:type="dxa"/>
            <w:tcBorders>
              <w:bottom w:val="single" w:sz="4" w:space="0" w:color="auto"/>
            </w:tcBorders>
          </w:tcPr>
          <w:p w14:paraId="482CB1DA" w14:textId="0EEF00FD" w:rsidR="00607E36" w:rsidRPr="00F1216B" w:rsidRDefault="00607E36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When students are not contributing to </w:t>
            </w:r>
            <w:r w:rsidR="009514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knowledge construction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5AFCB4A" w14:textId="13D23DA2" w:rsidR="00607E36" w:rsidRPr="00F1216B" w:rsidRDefault="009514A2" w:rsidP="00F121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“Thank you”, “My name is Kevin”, “Can I end the quiz?”</w:t>
            </w:r>
          </w:p>
        </w:tc>
      </w:tr>
    </w:tbl>
    <w:p w14:paraId="02BE585F" w14:textId="77777777" w:rsidR="009A38BF" w:rsidRDefault="009A38BF" w:rsidP="009A38BF">
      <w:pPr>
        <w:jc w:val="both"/>
        <w:rPr>
          <w:b/>
          <w:bCs/>
        </w:rPr>
      </w:pPr>
    </w:p>
    <w:p w14:paraId="3EB5BAA5" w14:textId="2BDE1AFE" w:rsidR="00D35666" w:rsidRDefault="00D35666" w:rsidP="009A38BF">
      <w:pPr>
        <w:jc w:val="both"/>
      </w:pPr>
      <w:r w:rsidRPr="00D35666">
        <w:rPr>
          <w:b/>
          <w:bCs/>
        </w:rPr>
        <w:t>NOTE:</w:t>
      </w:r>
      <w:r>
        <w:t xml:space="preserve"> The purpose of this framework is to understand </w:t>
      </w:r>
      <w:r w:rsidRPr="00D35666">
        <w:rPr>
          <w:rStyle w:val="Strong"/>
          <w:b w:val="0"/>
          <w:bCs w:val="0"/>
        </w:rPr>
        <w:t>how</w:t>
      </w:r>
      <w:r>
        <w:t xml:space="preserve"> a learner builds understanding in dialogue</w:t>
      </w:r>
      <w:r w:rsidR="009A38BF">
        <w:t xml:space="preserve">. It focuses on dialogue dynamics and cognitive processes within conversational interactions. </w:t>
      </w:r>
    </w:p>
    <w:p w14:paraId="4DDDF4DA" w14:textId="77777777" w:rsidR="006562EF" w:rsidRDefault="006562EF" w:rsidP="00603A5F"/>
    <w:sectPr w:rsidR="0065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W0NDe3NDI0MDQ0MLJQ0lEKTi0uzszPAykwqQUANkFvRCwAAAA="/>
  </w:docVars>
  <w:rsids>
    <w:rsidRoot w:val="00603A5F"/>
    <w:rsid w:val="000352C5"/>
    <w:rsid w:val="00100802"/>
    <w:rsid w:val="00101626"/>
    <w:rsid w:val="001F4281"/>
    <w:rsid w:val="00210ABF"/>
    <w:rsid w:val="003C7827"/>
    <w:rsid w:val="004330D2"/>
    <w:rsid w:val="004D2541"/>
    <w:rsid w:val="00532807"/>
    <w:rsid w:val="00552C70"/>
    <w:rsid w:val="00603A5F"/>
    <w:rsid w:val="00607E36"/>
    <w:rsid w:val="006562EF"/>
    <w:rsid w:val="008C08AE"/>
    <w:rsid w:val="009514A2"/>
    <w:rsid w:val="009A38BF"/>
    <w:rsid w:val="00A5520B"/>
    <w:rsid w:val="00B02162"/>
    <w:rsid w:val="00B461CD"/>
    <w:rsid w:val="00B53C43"/>
    <w:rsid w:val="00B66E6D"/>
    <w:rsid w:val="00D35666"/>
    <w:rsid w:val="00DB001B"/>
    <w:rsid w:val="00F1216B"/>
    <w:rsid w:val="00F8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63D59"/>
  <w15:chartTrackingRefBased/>
  <w15:docId w15:val="{55CBBB01-17F3-4644-8B9F-584B790F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5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e78f99-7f46-472b-9fcd-7aca0ff61d6d">
      <Terms xmlns="http://schemas.microsoft.com/office/infopath/2007/PartnerControls"/>
    </lcf76f155ced4ddcb4097134ff3c332f>
    <TaxCatchAll xmlns="44bd42e9-b240-44a8-8ff3-f8992499d1b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9720EFB8B224C87D00660CA80C1E7" ma:contentTypeVersion="13" ma:contentTypeDescription="Create a new document." ma:contentTypeScope="" ma:versionID="8b65585ad48f1d51879c46689b535b52">
  <xsd:schema xmlns:xsd="http://www.w3.org/2001/XMLSchema" xmlns:xs="http://www.w3.org/2001/XMLSchema" xmlns:p="http://schemas.microsoft.com/office/2006/metadata/properties" xmlns:ns2="6ae78f99-7f46-472b-9fcd-7aca0ff61d6d" xmlns:ns3="44bd42e9-b240-44a8-8ff3-f8992499d1be" targetNamespace="http://schemas.microsoft.com/office/2006/metadata/properties" ma:root="true" ma:fieldsID="a07f61b076efb6087596c1abbbf4a6f9" ns2:_="" ns3:_="">
    <xsd:import namespace="6ae78f99-7f46-472b-9fcd-7aca0ff61d6d"/>
    <xsd:import namespace="44bd42e9-b240-44a8-8ff3-f8992499d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78f99-7f46-472b-9fcd-7aca0ff6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d28307-4a2f-4d46-81dd-0b9c12a47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d42e9-b240-44a8-8ff3-f8992499d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afbd254-c8ad-44c3-8919-6d86bcfe5a2a}" ma:internalName="TaxCatchAll" ma:showField="CatchAllData" ma:web="44bd42e9-b240-44a8-8ff3-f8992499d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11B59-3502-4FD8-90FF-6FDF65F63F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E196A-4F59-4FDE-9C51-859B50F98F4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ae78f99-7f46-472b-9fcd-7aca0ff61d6d"/>
    <ds:schemaRef ds:uri="http://purl.org/dc/elements/1.1/"/>
    <ds:schemaRef ds:uri="http://schemas.microsoft.com/office/2006/metadata/properties"/>
    <ds:schemaRef ds:uri="http://schemas.microsoft.com/office/2006/documentManagement/types"/>
    <ds:schemaRef ds:uri="44bd42e9-b240-44a8-8ff3-f8992499d1b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E8FBC48-9D13-4B26-8C93-1552B4A63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78f99-7f46-472b-9fcd-7aca0ff61d6d"/>
    <ds:schemaRef ds:uri="44bd42e9-b240-44a8-8ff3-f8992499d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608</Words>
  <Characters>3779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Barthakur</dc:creator>
  <cp:keywords/>
  <dc:description/>
  <cp:lastModifiedBy>Abhinava Barthakur</cp:lastModifiedBy>
  <cp:revision>7</cp:revision>
  <dcterms:created xsi:type="dcterms:W3CDTF">2025-06-24T00:16:00Z</dcterms:created>
  <dcterms:modified xsi:type="dcterms:W3CDTF">2025-08-28T01:15:00Z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687ca9bd-c1e2-490b-ae87-083a859d49e5</vt:lpwstr>
  </property>
  <property fmtid="{D5CDD505-2E9C-101B-9397-08002B2CF9AE}" pid="3" name="ContentTypeId">
    <vt:lpwstr>0x01010033B9720EFB8B224C87D00660CA80C1E7</vt:lpwstr>
  </property>
  <property fmtid="{D5CDD505-2E9C-101B-9397-08002B2CF9AE}" pid="4" name="MediaServiceImageTags">
    <vt:lpwstr/>
  </property>
</Properties>
</file>