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re"/>
        <w:bidi w:val="0"/>
        <w:rPr>
          <w:highlight w:val="none"/>
          <w:shd w:fill="FFFF00" w:val="clear"/>
          <w:lang w:val="en-US"/>
        </w:rPr>
      </w:pPr>
      <w:r>
        <w:rPr>
          <w:rStyle w:val="Hyperlink0"/>
          <w:shd w:fill="FFFF00" w:val="clear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(</w:t>
      </w:r>
    </w:p>
    <w:p>
      <w:pPr>
        <w:pStyle w:val="Tre"/>
        <w:bidi w:val="0"/>
        <w:rPr/>
      </w:pPr>
      <w:hyperlink r:id="rId2">
        <w:r>
          <w:rPr>
            <w:rStyle w:val="Hyperlink0"/>
            <w:shd w:fill="FFFF00" w:val="clear"/>
            <w:lang w:val="en-US"/>
            <w14:textOutline>
              <w14:noFill/>
            </w14:textOutline>
            <w14:textFill>
              <w14:solidFill>
                <w14:srgbClr w14:val="000000"/>
              </w14:solidFill>
            </w14:textFill>
          </w:rPr>
          <w:t>https://public.tableau.com/views/Worldavg1/Dashboard1?:language=en-US&amp;publish=yes&amp;:display_count=n&amp;:origin=viz_share_link</w:t>
        </w:r>
      </w:hyperlink>
    </w:p>
    <w:p>
      <w:pPr>
        <w:pStyle w:val="Tre"/>
        <w:bidi w:val="0"/>
        <w:rPr>
          <w:highlight w:val="none"/>
          <w:shd w:fill="FFFF00" w:val="clear"/>
        </w:rPr>
      </w:pPr>
      <w:r>
        <w:rPr>
          <w:shd w:fill="FFFF00" w:val="clear"/>
          <w14:textOutline>
            <w14:noFill/>
          </w14:textOutline>
          <w14:textFill>
            <w14:solidFill>
              <w14:srgbClr w14:val="000000"/>
            </w14:solidFill>
          </w14:textFill>
        </w:rPr>
      </w:r>
    </w:p>
    <w:p>
      <w:pPr>
        <w:pStyle w:val="Tre"/>
        <w:bidi w:val="0"/>
        <w:rPr>
          <w:highlight w:val="none"/>
          <w:shd w:fill="FFFF00" w:val="clear"/>
        </w:rPr>
      </w:pPr>
      <w:r>
        <w:rPr>
          <w:shd w:fill="FFFF00" w:val="clear"/>
          <w14:textOutline>
            <w14:noFill/>
          </w14:textOutline>
          <w14:textFill>
            <w14:solidFill>
              <w14:srgbClr w14:val="000000"/>
            </w14:solidFill>
          </w14:textFill>
        </w:rPr>
        <w:t>Wykresy porównujące średnie czynników wpływających na szczęście w krajach znajdujących się na szczycie rankingu i krajów, które osiągnęły najniższe pozycje. Średnie są dla lat 2015-2019.</w:t>
      </w:r>
    </w:p>
    <w:p>
      <w:pPr>
        <w:pStyle w:val="Tre"/>
        <w:bidi w:val="0"/>
        <w:rPr>
          <w:highlight w:val="none"/>
          <w:shd w:fill="FFFF00" w:val="clear"/>
        </w:rPr>
      </w:pPr>
      <w:r>
        <w:rPr>
          <w:shd w:fill="FFFF00" w:val="clear"/>
          <w14:textOutline>
            <w14:noFill/>
          </w14:textOutline>
          <w14:textFill>
            <w14:solidFill>
              <w14:srgbClr w14:val="000000"/>
            </w14:solidFill>
          </w14:textFill>
        </w:rPr>
        <w:t>Wyniki zostały zestawione ze średnią światową dla poszczególnych czynników (średnia światowa przedstawiona na linii poziomej, average line).</w:t>
      </w:r>
    </w:p>
    <w:p>
      <w:pPr>
        <w:pStyle w:val="Tre"/>
        <w:bidi w:val="0"/>
        <w:rPr>
          <w:highlight w:val="none"/>
          <w:shd w:fill="FFFF00" w:val="clear"/>
        </w:rPr>
      </w:pPr>
      <w:r>
        <w:rPr>
          <w:shd w:fill="FFFF00" w:val="clear"/>
          <w14:textOutline>
            <w14:noFill/>
          </w14:textOutline>
          <w14:textFill>
            <w14:solidFill>
              <w14:srgbClr w14:val="000000"/>
            </w14:solidFill>
          </w14:textFill>
        </w:rPr>
      </w:r>
    </w:p>
    <w:p>
      <w:pPr>
        <w:pStyle w:val="Tre"/>
        <w:bidi w:val="0"/>
        <w:rPr>
          <w:highlight w:val="none"/>
          <w:shd w:fill="FFFF00" w:val="clear"/>
        </w:rPr>
      </w:pPr>
      <w:r>
        <w:rPr>
          <w:shd w:fill="FFFF00" w:val="clea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Co można zauważyć, to w przypadku krajów osiągających średnio najwyższe wyniki, wykresy są mało dynamiczne, wyniki oscylują zazwyczaj wysoko ponad średnią, a jeśli tak nie jest, to np. rekompensują to bardzo wysokim wynikiem w innej kategorii - przykład Islandii: „korupcja” ledwo ponad średnią światową, za to bardzo wysoki wynik „hojności”. </w:t>
      </w:r>
    </w:p>
    <w:p>
      <w:pPr>
        <w:pStyle w:val="Tre"/>
        <w:bidi w:val="0"/>
        <w:rPr>
          <w:highlight w:val="none"/>
          <w:shd w:fill="FFFF00" w:val="clear"/>
        </w:rPr>
      </w:pPr>
      <w:r>
        <w:rPr>
          <w:shd w:fill="FFFF00" w:val="clear"/>
          <w14:textOutline>
            <w14:noFill/>
          </w14:textOutline>
          <w14:textFill>
            <w14:solidFill>
              <w14:srgbClr w14:val="000000"/>
            </w14:solidFill>
          </w14:textFill>
        </w:rPr>
        <w:t>4 z 5 krajów osiągających średnio najwyższe wyniki to kraje nordyckie: Dania, Finlandia, Islandia, Norwegia.</w:t>
      </w:r>
    </w:p>
    <w:p>
      <w:pPr>
        <w:pStyle w:val="Tre"/>
        <w:bidi w:val="0"/>
        <w:rPr>
          <w:highlight w:val="none"/>
          <w:shd w:fill="FFFF00" w:val="clear"/>
        </w:rPr>
      </w:pPr>
      <w:r>
        <w:rPr>
          <w:shd w:fill="FFFF00" w:val="clear"/>
          <w14:textOutline>
            <w14:noFill/>
          </w14:textOutline>
          <w14:textFill>
            <w14:solidFill>
              <w14:srgbClr w14:val="000000"/>
            </w14:solidFill>
          </w14:textFill>
        </w:rPr>
      </w:r>
    </w:p>
    <w:p>
      <w:pPr>
        <w:pStyle w:val="Tre"/>
        <w:bidi w:val="0"/>
        <w:rPr>
          <w:highlight w:val="none"/>
          <w:shd w:fill="FFFF00" w:val="clear"/>
        </w:rPr>
      </w:pPr>
      <w:r>
        <w:rPr>
          <w:shd w:fill="FFFF00" w:val="clear"/>
          <w14:textOutline>
            <w14:noFill/>
          </w14:textOutline>
          <w14:textFill>
            <w14:solidFill>
              <w14:srgbClr w14:val="000000"/>
            </w14:solidFill>
          </w14:textFill>
        </w:rPr>
        <w:t>Jeśli chodzi o kraje osiągające średnio najniższe wyniki, to wykresy są dużo bardziej zróżnicowane. Zgodnie z oczekiwaniami osiągają one wyniki zazwyczaj znacznie poniżej średniej światowej, wyjątkiem jest kategoria „hojność”.</w:t>
      </w:r>
    </w:p>
    <w:p>
      <w:pPr>
        <w:pStyle w:val="Tre"/>
        <w:bidi w:val="0"/>
        <w:rPr>
          <w:highlight w:val="none"/>
          <w:shd w:fill="FFFF00" w:val="clear"/>
        </w:rPr>
      </w:pPr>
      <w:r>
        <w:rPr>
          <w:shd w:fill="FFFF00" w:val="clear"/>
          <w14:textOutline>
            <w14:noFill/>
          </w14:textOutline>
          <w14:textFill>
            <w14:solidFill>
              <w14:srgbClr w14:val="000000"/>
            </w14:solidFill>
          </w14:textFill>
        </w:rPr>
        <w:t>)</w:t>
      </w:r>
    </w:p>
    <w:p>
      <w:pPr>
        <w:pStyle w:val="Tre"/>
        <w:bidi w:val="0"/>
        <w:rPr/>
      </w:pPr>
      <w:hyperlink r:id="rId3">
        <w:r>
          <w:rPr>
            <w:rStyle w:val="Hyperlink0"/>
            <w:lang w:val="en-US"/>
          </w:rPr>
          <w:t>https://public.tableau.com/views/Regions_16765409294430/Dashboard2?:language=en-US&amp;publish=yes&amp;:display_count=n&amp;:origin=viz_share_link</w:t>
        </w:r>
      </w:hyperlink>
    </w:p>
    <w:p>
      <w:pPr>
        <w:pStyle w:val="Tre"/>
        <w:bidi w:val="0"/>
        <w:rPr/>
      </w:pPr>
      <w:r>
        <w:rPr/>
      </w:r>
    </w:p>
    <w:p>
      <w:pPr>
        <w:pStyle w:val="Tre"/>
        <w:bidi w:val="0"/>
        <w:rPr/>
      </w:pPr>
      <w:r>
        <w:rPr/>
        <w:t>Jak wynika z powyższego wykresu, regiony osiągające średnie najwyższe wyniki to kolejno: Australia i Nowa Zelandia, Ameryka Północna i Europa Zachodnia.</w:t>
      </w:r>
    </w:p>
    <w:p>
      <w:pPr>
        <w:pStyle w:val="Tre"/>
        <w:bidi w:val="0"/>
        <w:rPr/>
      </w:pPr>
      <w:r>
        <w:rPr/>
      </w:r>
    </w:p>
    <w:p>
      <w:pPr>
        <w:pStyle w:val="Tre"/>
        <w:bidi w:val="0"/>
        <w:rPr/>
      </w:pPr>
      <w:hyperlink r:id="rId4">
        <w:r>
          <w:rPr>
            <w:rStyle w:val="Hyperlink0"/>
            <w:lang w:val="en-US"/>
          </w:rPr>
          <w:t>https://public.tableau.com/views/AustraliaandNewZealandtrends/Dashboard3?:language=en-US&amp;:display_count=n&amp;:origin=viz_share_link</w:t>
        </w:r>
      </w:hyperlink>
    </w:p>
    <w:p>
      <w:pPr>
        <w:pStyle w:val="Tre"/>
        <w:bidi w:val="0"/>
        <w:rPr/>
      </w:pPr>
      <w:r>
        <w:rPr/>
      </w:r>
    </w:p>
    <w:p>
      <w:pPr>
        <w:pStyle w:val="Tre"/>
        <w:bidi w:val="0"/>
        <w:rPr/>
      </w:pPr>
      <w:r>
        <w:rPr/>
        <w:t>Na wykresie przedstawiono to jak zmieniało się znaczenie poszczególnych wykresów w „najlepszym” regionie i w kraju o średniej najwyższej punktacji leżącym w tym regionie, tj. Nowej Zelandii. Mimo że wykres dla Nowej Zelandii wygląda dynamicznie, to w rzeczywistości pokazuje tylko subtelne zmiany, kraj utrzymuje stabilną pozycję w rankingu, ale w ostatnim roku dostrzegamy spadki wolności, korupcji, hojności. Jeśli chodzi o sam region, to tutaj zmiany są jeszcze bardziej subtelne, ale można zwrócić uwagę na blednący kolor linii, który oznacza, że średnia liczba punktów malała.</w:t>
      </w:r>
    </w:p>
    <w:p>
      <w:pPr>
        <w:pStyle w:val="Tre"/>
        <w:bidi w:val="0"/>
        <w:rPr/>
      </w:pPr>
      <w:r>
        <w:rPr/>
      </w:r>
    </w:p>
    <w:p>
      <w:pPr>
        <w:pStyle w:val="Tre"/>
        <w:bidi w:val="0"/>
        <w:rPr/>
      </w:pPr>
      <w:hyperlink r:id="rId5">
        <w:r>
          <w:rPr>
            <w:rStyle w:val="Hyperlink0"/>
            <w:lang w:val="en-US"/>
          </w:rPr>
          <w:t>https://public.tableau.com/views/NorthAmericatrends/Dashboard3?:language=en-US&amp;:display_count=n&amp;:origin=viz_share_link</w:t>
        </w:r>
      </w:hyperlink>
    </w:p>
    <w:p>
      <w:pPr>
        <w:pStyle w:val="Tre"/>
        <w:bidi w:val="0"/>
        <w:rPr/>
      </w:pPr>
      <w:r>
        <w:rPr/>
        <w:t>W przypadku regionu znajdującego się na pozycji drugiej, sytuacja jest bardzo podobna. Tutaj krajem o najwyższych wynikach jest Kanada, w której zauważalna jest tendencja spadkowa, tak jak w całym regionie. Z pozycji 5 kraj spadł na 9, co wiązało się ze spadkami znaczenia czynników w niemal wszystkich kategoriach oprócz zdrowia i społeczeństwa.</w:t>
      </w:r>
    </w:p>
    <w:p>
      <w:pPr>
        <w:pStyle w:val="Tre"/>
        <w:bidi w:val="0"/>
        <w:rPr/>
      </w:pPr>
      <w:r>
        <w:rPr/>
      </w:r>
    </w:p>
    <w:p>
      <w:pPr>
        <w:pStyle w:val="Tre"/>
        <w:bidi w:val="0"/>
        <w:rPr/>
      </w:pPr>
      <w:hyperlink r:id="rId6">
        <w:r>
          <w:rPr>
            <w:rStyle w:val="Hyperlink0"/>
            <w:lang w:val="en-US"/>
          </w:rPr>
          <w:t>https://public.tableau.com/views/WesternEuropetrends/Dashboard2?:language=en-US&amp;:display_count=n&amp;:origin=viz_share_link</w:t>
        </w:r>
      </w:hyperlink>
    </w:p>
    <w:p>
      <w:pPr>
        <w:pStyle w:val="Tre"/>
        <w:bidi w:val="0"/>
        <w:rPr/>
      </w:pPr>
      <w:r>
        <w:rPr/>
        <w:t>Regionem zamykającym podium jest Europa Zachodnia. Jako jedyny z tych regionów ma tendencję wzrostową jeśli chodzi o liczbę punktów, co czyni z niej atrakcyjny cel dla działalności i częsty wybór imigrantów. Wszystkie 5 krajów, które zajmują średnio najwyższe pozycje w rankingu znajdują się w Europie Zachodniej. Norwegia to kraj osiągający jedne z lepszych wyników i umacniający swoją pozycję w rankingu. W Norwegii spada znaczenie hojności, korupcji i wolności, ale nadal jest znacznie powyżej średnich światowych, co wynika m.in. z wysokiego zaufania społeczeństwa do rządu. Norwegia to jeden z najbogatszych krajów na świecie, co ciekawe jest to kraj z długą historią ubóstwa i zależności od innych państw, który dorobił się na złożach ropy. Nieznacznie spada znaczenie PKB, co może się wiązać z tym, że oprócz tego, że bogactwo daje poczucie bezpieczeństwa, jest również powodem do wstydu (kraj jest proekologiczny, a działalność, która daje bogactwo szkodzi równocześnie środowisku).</w:t>
      </w:r>
    </w:p>
    <w:p>
      <w:pPr>
        <w:pStyle w:val="Tre"/>
        <w:bidi w:val="0"/>
        <w:rPr/>
      </w:pPr>
      <w:r>
        <w:rPr/>
      </w:r>
    </w:p>
    <w:p>
      <w:pPr>
        <w:pStyle w:val="Tre"/>
        <w:bidi w:val="0"/>
        <w:rPr/>
      </w:pPr>
      <w:r>
        <w:rPr/>
      </w:r>
    </w:p>
    <w:p>
      <w:pPr>
        <w:pStyle w:val="Tre"/>
        <w:bidi w:val="0"/>
        <w:rPr/>
      </w:pPr>
      <w:r>
        <w:rPr/>
        <w:t>Do wniosków?? nie jestem pewna</w:t>
      </w:r>
    </w:p>
    <w:p>
      <w:pPr>
        <w:pStyle w:val="Tre"/>
        <w:bidi w:val="0"/>
        <w:rPr/>
      </w:pPr>
      <w:r>
        <w:rPr/>
        <w:t>Moja propozycja:</w:t>
      </w:r>
    </w:p>
    <w:p>
      <w:pPr>
        <w:pStyle w:val="Tre"/>
        <w:bidi w:val="0"/>
        <w:rPr/>
      </w:pPr>
      <w:r>
        <w:rPr/>
        <w:t>Najlepszym pomysłem jest przeniesienie działalności do Europy Zachodniej, ponieważ mimo że jest to region zamykający podium, ma tendencję wzrostową, staje się coraz bardziej bogaty.</w:t>
      </w:r>
    </w:p>
    <w:p>
      <w:pPr>
        <w:pStyle w:val="Tre"/>
        <w:bidi w:val="0"/>
        <w:rPr/>
      </w:pPr>
      <w:r>
        <w:rPr/>
        <w:t xml:space="preserve">Norwegia jest bardzo atrakcyjnym krajem, który umacnia swoją pozycję w rankingu. Jest to kraj, w którym działalność będzie opłacalna przez wiele wiele lat, któremu niestraszne są kryzysy na rynku paliwowym, które mogą mieć duży wpływ na szczęście społeczeństwa (ludzie muszą mieć czym grzać w domach, jest to ważny element zaspokajania ich podstawowych potrzeb). Kraj o pięknej naturze, języku przyjaznym do nauki, dużym zaufaniu do rządu :) </w:t>
      </w:r>
    </w:p>
    <w:sectPr>
      <w:headerReference w:type="default" r:id="rId7"/>
      <w:footerReference w:type="default" r:id="rId8"/>
      <w:type w:val="nextPage"/>
      <w:pgSz w:w="11906" w:h="16838"/>
      <w:pgMar w:left="1134" w:right="1134" w:gutter="0" w:header="709" w:top="1134" w:footer="85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Times New Roman">
    <w:charset w:val="ee"/>
    <w:family w:val="roman"/>
    <w:pitch w:val="variable"/>
  </w:font>
  <w:font w:name="Liberation Sans">
    <w:altName w:val="Arial"/>
    <w:charset w:val="ee"/>
    <w:family w:val="swiss"/>
    <w:pitch w:val="variable"/>
  </w:font>
  <w:font w:name="Helvetica Neue">
    <w:charset w:val="ee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75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pl-PL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auto"/>
      <w:spacing w:val="0"/>
      <w:w w:val="100"/>
      <w:kern w:val="0"/>
      <w:position w:val="0"/>
      <w:sz w:val="24"/>
      <w:sz w:val="24"/>
      <w:szCs w:val="24"/>
      <w:u w:val="none" w:color="FFFFFF"/>
      <w:vertAlign w:val="baseline"/>
      <w:lang w:val="en-US" w:eastAsia="en-US" w:bidi="ar-SA"/>
    </w:rPr>
  </w:style>
  <w:style w:type="character" w:styleId="DefaultParagraphFont" w:default="1">
    <w:name w:val="Default Paragraph Font"/>
    <w:qFormat/>
    <w:rPr/>
  </w:style>
  <w:style w:type="character" w:styleId="Czeinternetowe">
    <w:name w:val="Hyperlink"/>
    <w:rPr>
      <w:u w:val="single" w:color="FFFFFF"/>
    </w:rPr>
  </w:style>
  <w:style w:type="character" w:styleId="Hyperlink0">
    <w:name w:val="Hyperlink.0"/>
    <w:basedOn w:val="Czeinternetowe"/>
    <w:qFormat/>
    <w:rPr>
      <w:u w:val="single" w:color="FFFFFF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  <w:style w:type="paragraph" w:styleId="Tre">
    <w:name w:val="Treść"/>
    <w:qFormat/>
    <w:pPr>
      <w:keepNext w:val="false"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2"/>
      <w:sz w:val="22"/>
      <w:szCs w:val="22"/>
      <w:u w:val="none" w:color="FFFFFF"/>
      <w:shd w:fill="auto" w:val="clear"/>
      <w:vertAlign w:val="baseline"/>
      <w:lang w:val="pl-PL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Gwkaistopka">
    <w:name w:val="Główka i stopka"/>
    <w:basedOn w:val="Normal"/>
    <w:qFormat/>
    <w:pPr/>
    <w:rPr/>
  </w:style>
  <w:style w:type="paragraph" w:styleId="Gwka">
    <w:name w:val="Header"/>
    <w:basedOn w:val="Gwkaistopka"/>
    <w:pPr/>
    <w:rPr/>
  </w:style>
  <w:style w:type="paragraph" w:styleId="Stopka">
    <w:name w:val="Footer"/>
    <w:basedOn w:val="Gwkaistopka"/>
    <w:pPr/>
    <w:rPr/>
  </w:style>
  <w:style w:type="numbering" w:styleId="NoList" w:default="1">
    <w:name w:val="No List"/>
    <w:qFormat/>
  </w:style>
  <w:style w:type="table" w:default="1" w:styleId="Table Normal">
    <w:name w:val="Table Normal"/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ublic.tableau.com/views/Worldavg1/Dashboard1?:language=en-US&amp;publish=yes&amp;:display_count=n&amp;:origin=viz_share_link" TargetMode="External"/><Relationship Id="rId3" Type="http://schemas.openxmlformats.org/officeDocument/2006/relationships/hyperlink" Target="https://public.tableau.com/views/Regions_16765409294430/Dashboard2?:language=en-US&amp;publish=yes&amp;:display_count=n&amp;:origin=viz_share_link" TargetMode="External"/><Relationship Id="rId4" Type="http://schemas.openxmlformats.org/officeDocument/2006/relationships/hyperlink" Target="https://public.tableau.com/views/AustraliaandNewZealandtrends/Dashboard3?:language=en-US&amp;:display_count=n&amp;:origin=viz_share_link" TargetMode="External"/><Relationship Id="rId5" Type="http://schemas.openxmlformats.org/officeDocument/2006/relationships/hyperlink" Target="https://public.tableau.com/views/NorthAmericatrends/Dashboard3?:language=en-US&amp;:display_count=n&amp;:origin=viz_share_link" TargetMode="External"/><Relationship Id="rId6" Type="http://schemas.openxmlformats.org/officeDocument/2006/relationships/hyperlink" Target="https://public.tableau.com/views/WesternEuropetrends/Dashboard2?:language=en-US&amp;:display_count=n&amp;:origin=viz_share_link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LibreOffice/7.4.4.2$Windows_X86_64 LibreOffice_project/85569322deea74ec9134968a29af2df5663baa21</Application>
  <AppVersion>15.0000</AppVersion>
  <Pages>2</Pages>
  <Words>543</Words>
  <Characters>3838</Characters>
  <CharactersWithSpaces>4363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pl-PL</dc:language>
  <cp:lastModifiedBy/>
  <dcterms:modified xsi:type="dcterms:W3CDTF">2023-02-16T13:10:33Z</dcterms:modified>
  <cp:revision>1</cp:revision>
  <dc:subject/>
  <dc:title/>
</cp:coreProperties>
</file>