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Projet BookWorld — Rapport final</w:t>
      </w:r>
    </w:p>
    <w:p>
      <w:r>
        <w:rPr>
          <w:i/>
          <w:iCs/>
        </w:rPr>
        <w:t xml:space="preserve">Pipeline de données : extraction, transformation et modélisation</w:t>
      </w:r>
    </w:p>
    <w:p>
      <w:pPr>
        <w:pStyle w:val="Heading1"/>
      </w:pPr>
      <w:r>
        <w:t xml:space="preserve">1. Sources de données</w:t>
      </w:r>
    </w:p>
    <w:p>
      <w:pPr>
        <w:pStyle w:val="ListParagraph"/>
        <w:numPr>
          <w:ilvl w:val="0"/>
          <w:numId w:val="1"/>
        </w:numPr>
      </w:pPr>
      <w:r>
        <w:t xml:space="preserve">sales_raw.csv — historique des commandes de vente</w:t>
      </w:r>
    </w:p>
    <w:p>
      <w:pPr>
        <w:pStyle w:val="ListParagraph"/>
        <w:numPr>
          <w:ilvl w:val="0"/>
          <w:numId w:val="1"/>
        </w:numPr>
      </w:pPr>
      <w:r>
        <w:t xml:space="preserve">bookworld_reference.db (SQLite) — canaux, pays, règles de catégories</w:t>
      </w:r>
    </w:p>
    <w:p>
      <w:pPr>
        <w:pStyle w:val="ListParagraph"/>
        <w:numPr>
          <w:ilvl w:val="0"/>
          <w:numId w:val="1"/>
        </w:numPr>
      </w:pPr>
      <w:r>
        <w:t xml:space="preserve">Scraping de https://books.toscrape.com/ (page 1) — catalogue et prix des livres en GBP</w:t>
      </w:r>
    </w:p>
    <w:p>
      <w:pPr>
        <w:pStyle w:val="ListParagraph"/>
        <w:numPr>
          <w:ilvl w:val="0"/>
          <w:numId w:val="1"/>
        </w:numPr>
      </w:pPr>
      <w:r>
        <w:t xml:space="preserve">API publique Frankfurter — taux de change GBP → EUR</w:t>
      </w:r>
    </w:p>
    <w:p>
      <w:pPr>
        <w:pStyle w:val="Heading1"/>
      </w:pPr>
      <w:r>
        <w:t xml:space="preserve">2. Nettoyage et enrichissement</w:t>
      </w:r>
    </w:p>
    <w:p>
      <w:r>
        <w:t xml:space="preserve">Les ventes sont dédupliquées sur order_id, les lignes incomplètes (book_id, country_code ou quantity manquants) sont écartées, et les quantités/remises sont typées et bornées. Chaque ligne de vente est ensuite enrichie avec le prix du livre (catalogue scrapé) et le nom du pays (référentiel SQLite), puis un chiffre d'affaires est calculé : quantity × price_gbp × (1 − discount_rate), converti en euros via le taux GBP→EUR récupéré auprès de l'API Frankfurter.</w:t>
      </w:r>
    </w:p>
    <w:p>
      <w:pPr>
        <w:pStyle w:val="Heading1"/>
      </w:pPr>
      <w:r>
        <w:t xml:space="preserve">3. Agrégation finale : sales_by_country</w:t>
      </w:r>
    </w:p>
    <w:p>
      <w:r>
        <w:t xml:space="preserve">Le jeu de données final regroupe les ventes enrichies par pays et calcule, pour chacun : le nombre de commandes distinctes, la quantité totale vendue, et le chiffre d'affaires total en GBP et en EUR. Exemple de sortie (échantillon généré à partir des données du projet, taux de conversion illustratif) :</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300"/>
        <w:gridCol w:w="1500"/>
        <w:gridCol w:w="1600"/>
        <w:gridCol w:w="1660"/>
      </w:tblGrid>
      <w:tr>
        <w:trPr>
          <w:tblHeader/>
        </w:trPr>
        <w:tc>
          <w:tcPr>
            <w:tcW w:type="dxa" w:w="1500"/>
            <w:shd w:fill="2F4B7C" w:val="clear"/>
            <w:tcMar>
              <w:top w:type="dxa" w:w="80"/>
              <w:left w:type="dxa" w:w="100"/>
              <w:bottom w:type="dxa" w:w="80"/>
              <w:right w:type="dxa" w:w="100"/>
            </w:tcMar>
          </w:tcPr>
          <w:p>
            <w:r>
              <w:rPr>
                <w:b/>
                <w:bCs/>
                <w:color w:val="FFFFFF"/>
              </w:rPr>
              <w:t xml:space="preserve">country_code</w:t>
            </w:r>
          </w:p>
        </w:tc>
        <w:tc>
          <w:tcPr>
            <w:tcW w:type="dxa" w:w="1800"/>
            <w:shd w:fill="2F4B7C" w:val="clear"/>
            <w:tcMar>
              <w:top w:type="dxa" w:w="80"/>
              <w:left w:type="dxa" w:w="100"/>
              <w:bottom w:type="dxa" w:w="80"/>
              <w:right w:type="dxa" w:w="100"/>
            </w:tcMar>
          </w:tcPr>
          <w:p>
            <w:r>
              <w:rPr>
                <w:b/>
                <w:bCs/>
                <w:color w:val="FFFFFF"/>
              </w:rPr>
              <w:t xml:space="preserve">country_name</w:t>
            </w:r>
          </w:p>
        </w:tc>
        <w:tc>
          <w:tcPr>
            <w:tcW w:type="dxa" w:w="1300"/>
            <w:shd w:fill="2F4B7C" w:val="clear"/>
            <w:tcMar>
              <w:top w:type="dxa" w:w="80"/>
              <w:left w:type="dxa" w:w="100"/>
              <w:bottom w:type="dxa" w:w="80"/>
              <w:right w:type="dxa" w:w="100"/>
            </w:tcMar>
          </w:tcPr>
          <w:p>
            <w:r>
              <w:rPr>
                <w:b/>
                <w:bCs/>
                <w:color w:val="FFFFFF"/>
              </w:rPr>
              <w:t xml:space="preserve">total_orders</w:t>
            </w:r>
          </w:p>
        </w:tc>
        <w:tc>
          <w:tcPr>
            <w:tcW w:type="dxa" w:w="1500"/>
            <w:shd w:fill="2F4B7C" w:val="clear"/>
            <w:tcMar>
              <w:top w:type="dxa" w:w="80"/>
              <w:left w:type="dxa" w:w="100"/>
              <w:bottom w:type="dxa" w:w="80"/>
              <w:right w:type="dxa" w:w="100"/>
            </w:tcMar>
          </w:tcPr>
          <w:p>
            <w:r>
              <w:rPr>
                <w:b/>
                <w:bCs/>
                <w:color w:val="FFFFFF"/>
              </w:rPr>
              <w:t xml:space="preserve">total_quantity</w:t>
            </w:r>
          </w:p>
        </w:tc>
        <w:tc>
          <w:tcPr>
            <w:tcW w:type="dxa" w:w="1600"/>
            <w:shd w:fill="2F4B7C" w:val="clear"/>
            <w:tcMar>
              <w:top w:type="dxa" w:w="80"/>
              <w:left w:type="dxa" w:w="100"/>
              <w:bottom w:type="dxa" w:w="80"/>
              <w:right w:type="dxa" w:w="100"/>
            </w:tcMar>
          </w:tcPr>
          <w:p>
            <w:r>
              <w:rPr>
                <w:b/>
                <w:bCs/>
                <w:color w:val="FFFFFF"/>
              </w:rPr>
              <w:t xml:space="preserve">total_revenue_gbp</w:t>
            </w:r>
          </w:p>
        </w:tc>
        <w:tc>
          <w:tcPr>
            <w:tcW w:type="dxa" w:w="1660"/>
            <w:shd w:fill="2F4B7C" w:val="clear"/>
            <w:tcMar>
              <w:top w:type="dxa" w:w="80"/>
              <w:left w:type="dxa" w:w="100"/>
              <w:bottom w:type="dxa" w:w="80"/>
              <w:right w:type="dxa" w:w="100"/>
            </w:tcMar>
          </w:tcPr>
          <w:p>
            <w:r>
              <w:rPr>
                <w:b/>
                <w:bCs/>
                <w:color w:val="FFFFFF"/>
              </w:rPr>
              <w:t xml:space="preserve">total_revenue_eur</w:t>
            </w:r>
          </w:p>
        </w:tc>
      </w:tr>
      <w:tr>
        <w:tc>
          <w:tcPr>
            <w:tcW w:type="dxa" w:w="1500"/>
            <w:tcMar>
              <w:top w:type="dxa" w:w="80"/>
              <w:left w:type="dxa" w:w="100"/>
              <w:bottom w:type="dxa" w:w="80"/>
              <w:right w:type="dxa" w:w="100"/>
            </w:tcMar>
          </w:tcPr>
          <w:p>
            <w:r>
              <w:rPr>
                <w:b w:val="false"/>
                <w:bCs w:val="false"/>
              </w:rPr>
              <w:t xml:space="preserve">DE</w:t>
            </w:r>
          </w:p>
        </w:tc>
        <w:tc>
          <w:tcPr>
            <w:tcW w:type="dxa" w:w="1800"/>
            <w:tcMar>
              <w:top w:type="dxa" w:w="80"/>
              <w:left w:type="dxa" w:w="100"/>
              <w:bottom w:type="dxa" w:w="80"/>
              <w:right w:type="dxa" w:w="100"/>
            </w:tcMar>
          </w:tcPr>
          <w:p>
            <w:r>
              <w:rPr>
                <w:b w:val="false"/>
                <w:bCs w:val="false"/>
              </w:rPr>
              <w:t xml:space="preserve">Germany</w:t>
            </w:r>
          </w:p>
        </w:tc>
        <w:tc>
          <w:tcPr>
            <w:tcW w:type="dxa" w:w="1300"/>
            <w:tcMar>
              <w:top w:type="dxa" w:w="80"/>
              <w:left w:type="dxa" w:w="100"/>
              <w:bottom w:type="dxa" w:w="80"/>
              <w:right w:type="dxa" w:w="100"/>
            </w:tcMar>
          </w:tcPr>
          <w:p>
            <w:r>
              <w:rPr>
                <w:b w:val="false"/>
                <w:bCs w:val="false"/>
              </w:rPr>
              <w:t xml:space="preserve">40</w:t>
            </w:r>
          </w:p>
        </w:tc>
        <w:tc>
          <w:tcPr>
            <w:tcW w:type="dxa" w:w="1500"/>
            <w:tcMar>
              <w:top w:type="dxa" w:w="80"/>
              <w:left w:type="dxa" w:w="100"/>
              <w:bottom w:type="dxa" w:w="80"/>
              <w:right w:type="dxa" w:w="100"/>
            </w:tcMar>
          </w:tcPr>
          <w:p>
            <w:r>
              <w:rPr>
                <w:b w:val="false"/>
                <w:bCs w:val="false"/>
              </w:rPr>
              <w:t xml:space="preserve">110</w:t>
            </w:r>
          </w:p>
        </w:tc>
        <w:tc>
          <w:tcPr>
            <w:tcW w:type="dxa" w:w="1600"/>
            <w:tcMar>
              <w:top w:type="dxa" w:w="80"/>
              <w:left w:type="dxa" w:w="100"/>
              <w:bottom w:type="dxa" w:w="80"/>
              <w:right w:type="dxa" w:w="100"/>
            </w:tcMar>
          </w:tcPr>
          <w:p>
            <w:r>
              <w:rPr>
                <w:b w:val="false"/>
                <w:bCs w:val="false"/>
              </w:rPr>
              <w:t xml:space="preserve">4014.7</w:t>
            </w:r>
          </w:p>
        </w:tc>
        <w:tc>
          <w:tcPr>
            <w:tcW w:type="dxa" w:w="1660"/>
            <w:tcMar>
              <w:top w:type="dxa" w:w="80"/>
              <w:left w:type="dxa" w:w="100"/>
              <w:bottom w:type="dxa" w:w="80"/>
              <w:right w:type="dxa" w:w="100"/>
            </w:tcMar>
          </w:tcPr>
          <w:p>
            <w:r>
              <w:rPr>
                <w:b w:val="false"/>
                <w:bCs w:val="false"/>
              </w:rPr>
              <w:t xml:space="preserve">4616.91</w:t>
            </w:r>
          </w:p>
        </w:tc>
      </w:tr>
      <w:tr>
        <w:tc>
          <w:tcPr>
            <w:tcW w:type="dxa" w:w="1500"/>
            <w:tcMar>
              <w:top w:type="dxa" w:w="80"/>
              <w:left w:type="dxa" w:w="100"/>
              <w:bottom w:type="dxa" w:w="80"/>
              <w:right w:type="dxa" w:w="100"/>
            </w:tcMar>
          </w:tcPr>
          <w:p>
            <w:r>
              <w:rPr>
                <w:b w:val="false"/>
                <w:bCs w:val="false"/>
              </w:rPr>
              <w:t xml:space="preserve">FR</w:t>
            </w:r>
          </w:p>
        </w:tc>
        <w:tc>
          <w:tcPr>
            <w:tcW w:type="dxa" w:w="1800"/>
            <w:tcMar>
              <w:top w:type="dxa" w:w="80"/>
              <w:left w:type="dxa" w:w="100"/>
              <w:bottom w:type="dxa" w:w="80"/>
              <w:right w:type="dxa" w:w="100"/>
            </w:tcMar>
          </w:tcPr>
          <w:p>
            <w:r>
              <w:rPr>
                <w:b w:val="false"/>
                <w:bCs w:val="false"/>
              </w:rPr>
              <w:t xml:space="preserve">France</w:t>
            </w:r>
          </w:p>
        </w:tc>
        <w:tc>
          <w:tcPr>
            <w:tcW w:type="dxa" w:w="1300"/>
            <w:tcMar>
              <w:top w:type="dxa" w:w="80"/>
              <w:left w:type="dxa" w:w="100"/>
              <w:bottom w:type="dxa" w:w="80"/>
              <w:right w:type="dxa" w:w="100"/>
            </w:tcMar>
          </w:tcPr>
          <w:p>
            <w:r>
              <w:rPr>
                <w:b w:val="false"/>
                <w:bCs w:val="false"/>
              </w:rPr>
              <w:t xml:space="preserve">56</w:t>
            </w:r>
          </w:p>
        </w:tc>
        <w:tc>
          <w:tcPr>
            <w:tcW w:type="dxa" w:w="1500"/>
            <w:tcMar>
              <w:top w:type="dxa" w:w="80"/>
              <w:left w:type="dxa" w:w="100"/>
              <w:bottom w:type="dxa" w:w="80"/>
              <w:right w:type="dxa" w:w="100"/>
            </w:tcMar>
          </w:tcPr>
          <w:p>
            <w:r>
              <w:rPr>
                <w:b w:val="false"/>
                <w:bCs w:val="false"/>
              </w:rPr>
              <w:t xml:space="preserve">130</w:t>
            </w:r>
          </w:p>
        </w:tc>
        <w:tc>
          <w:tcPr>
            <w:tcW w:type="dxa" w:w="1600"/>
            <w:tcMar>
              <w:top w:type="dxa" w:w="80"/>
              <w:left w:type="dxa" w:w="100"/>
              <w:bottom w:type="dxa" w:w="80"/>
              <w:right w:type="dxa" w:w="100"/>
            </w:tcMar>
          </w:tcPr>
          <w:p>
            <w:r>
              <w:rPr>
                <w:b w:val="false"/>
                <w:bCs w:val="false"/>
              </w:rPr>
              <w:t xml:space="preserve">3979.2</w:t>
            </w:r>
          </w:p>
        </w:tc>
        <w:tc>
          <w:tcPr>
            <w:tcW w:type="dxa" w:w="1660"/>
            <w:tcMar>
              <w:top w:type="dxa" w:w="80"/>
              <w:left w:type="dxa" w:w="100"/>
              <w:bottom w:type="dxa" w:w="80"/>
              <w:right w:type="dxa" w:w="100"/>
            </w:tcMar>
          </w:tcPr>
          <w:p>
            <w:r>
              <w:rPr>
                <w:b w:val="false"/>
                <w:bCs w:val="false"/>
              </w:rPr>
              <w:t xml:space="preserve">4576.08</w:t>
            </w:r>
          </w:p>
        </w:tc>
      </w:tr>
      <w:tr>
        <w:tc>
          <w:tcPr>
            <w:tcW w:type="dxa" w:w="1500"/>
            <w:tcMar>
              <w:top w:type="dxa" w:w="80"/>
              <w:left w:type="dxa" w:w="100"/>
              <w:bottom w:type="dxa" w:w="80"/>
              <w:right w:type="dxa" w:w="100"/>
            </w:tcMar>
          </w:tcPr>
          <w:p>
            <w:r>
              <w:rPr>
                <w:b w:val="false"/>
                <w:bCs w:val="false"/>
              </w:rPr>
              <w:t xml:space="preserve">BE</w:t>
            </w:r>
          </w:p>
        </w:tc>
        <w:tc>
          <w:tcPr>
            <w:tcW w:type="dxa" w:w="1800"/>
            <w:tcMar>
              <w:top w:type="dxa" w:w="80"/>
              <w:left w:type="dxa" w:w="100"/>
              <w:bottom w:type="dxa" w:w="80"/>
              <w:right w:type="dxa" w:w="100"/>
            </w:tcMar>
          </w:tcPr>
          <w:p>
            <w:r>
              <w:rPr>
                <w:b w:val="false"/>
                <w:bCs w:val="false"/>
              </w:rPr>
              <w:t xml:space="preserve">Belgium</w:t>
            </w:r>
          </w:p>
        </w:tc>
        <w:tc>
          <w:tcPr>
            <w:tcW w:type="dxa" w:w="1300"/>
            <w:tcMar>
              <w:top w:type="dxa" w:w="80"/>
              <w:left w:type="dxa" w:w="100"/>
              <w:bottom w:type="dxa" w:w="80"/>
              <w:right w:type="dxa" w:w="100"/>
            </w:tcMar>
          </w:tcPr>
          <w:p>
            <w:r>
              <w:rPr>
                <w:b w:val="false"/>
                <w:bCs w:val="false"/>
              </w:rPr>
              <w:t xml:space="preserve">30</w:t>
            </w:r>
          </w:p>
        </w:tc>
        <w:tc>
          <w:tcPr>
            <w:tcW w:type="dxa" w:w="1500"/>
            <w:tcMar>
              <w:top w:type="dxa" w:w="80"/>
              <w:left w:type="dxa" w:w="100"/>
              <w:bottom w:type="dxa" w:w="80"/>
              <w:right w:type="dxa" w:w="100"/>
            </w:tcMar>
          </w:tcPr>
          <w:p>
            <w:r>
              <w:rPr>
                <w:b w:val="false"/>
                <w:bCs w:val="false"/>
              </w:rPr>
              <w:t xml:space="preserve">81</w:t>
            </w:r>
          </w:p>
        </w:tc>
        <w:tc>
          <w:tcPr>
            <w:tcW w:type="dxa" w:w="1600"/>
            <w:tcMar>
              <w:top w:type="dxa" w:w="80"/>
              <w:left w:type="dxa" w:w="100"/>
              <w:bottom w:type="dxa" w:w="80"/>
              <w:right w:type="dxa" w:w="100"/>
            </w:tcMar>
          </w:tcPr>
          <w:p>
            <w:r>
              <w:rPr>
                <w:b w:val="false"/>
                <w:bCs w:val="false"/>
              </w:rPr>
              <w:t xml:space="preserve">2682.3</w:t>
            </w:r>
          </w:p>
        </w:tc>
        <w:tc>
          <w:tcPr>
            <w:tcW w:type="dxa" w:w="1660"/>
            <w:tcMar>
              <w:top w:type="dxa" w:w="80"/>
              <w:left w:type="dxa" w:w="100"/>
              <w:bottom w:type="dxa" w:w="80"/>
              <w:right w:type="dxa" w:w="100"/>
            </w:tcMar>
          </w:tcPr>
          <w:p>
            <w:r>
              <w:rPr>
                <w:b w:val="false"/>
                <w:bCs w:val="false"/>
              </w:rPr>
              <w:t xml:space="preserve">3084.64</w:t>
            </w:r>
          </w:p>
        </w:tc>
      </w:tr>
      <w:tr>
        <w:tc>
          <w:tcPr>
            <w:tcW w:type="dxa" w:w="1500"/>
            <w:tcMar>
              <w:top w:type="dxa" w:w="80"/>
              <w:left w:type="dxa" w:w="100"/>
              <w:bottom w:type="dxa" w:w="80"/>
              <w:right w:type="dxa" w:w="100"/>
            </w:tcMar>
          </w:tcPr>
          <w:p>
            <w:r>
              <w:rPr>
                <w:b w:val="false"/>
                <w:bCs w:val="false"/>
              </w:rPr>
              <w:t xml:space="preserve">ES</w:t>
            </w:r>
          </w:p>
        </w:tc>
        <w:tc>
          <w:tcPr>
            <w:tcW w:type="dxa" w:w="1800"/>
            <w:tcMar>
              <w:top w:type="dxa" w:w="80"/>
              <w:left w:type="dxa" w:w="100"/>
              <w:bottom w:type="dxa" w:w="80"/>
              <w:right w:type="dxa" w:w="100"/>
            </w:tcMar>
          </w:tcPr>
          <w:p>
            <w:r>
              <w:rPr>
                <w:b w:val="false"/>
                <w:bCs w:val="false"/>
              </w:rPr>
              <w:t xml:space="preserve">Spain</w:t>
            </w:r>
          </w:p>
        </w:tc>
        <w:tc>
          <w:tcPr>
            <w:tcW w:type="dxa" w:w="1300"/>
            <w:tcMar>
              <w:top w:type="dxa" w:w="80"/>
              <w:left w:type="dxa" w:w="100"/>
              <w:bottom w:type="dxa" w:w="80"/>
              <w:right w:type="dxa" w:w="100"/>
            </w:tcMar>
          </w:tcPr>
          <w:p>
            <w:r>
              <w:rPr>
                <w:b w:val="false"/>
                <w:bCs w:val="false"/>
              </w:rPr>
              <w:t xml:space="preserve">28</w:t>
            </w:r>
          </w:p>
        </w:tc>
        <w:tc>
          <w:tcPr>
            <w:tcW w:type="dxa" w:w="1500"/>
            <w:tcMar>
              <w:top w:type="dxa" w:w="80"/>
              <w:left w:type="dxa" w:w="100"/>
              <w:bottom w:type="dxa" w:w="80"/>
              <w:right w:type="dxa" w:w="100"/>
            </w:tcMar>
          </w:tcPr>
          <w:p>
            <w:r>
              <w:rPr>
                <w:b w:val="false"/>
                <w:bCs w:val="false"/>
              </w:rPr>
              <w:t xml:space="preserve">64</w:t>
            </w:r>
          </w:p>
        </w:tc>
        <w:tc>
          <w:tcPr>
            <w:tcW w:type="dxa" w:w="1600"/>
            <w:tcMar>
              <w:top w:type="dxa" w:w="80"/>
              <w:left w:type="dxa" w:w="100"/>
              <w:bottom w:type="dxa" w:w="80"/>
              <w:right w:type="dxa" w:w="100"/>
            </w:tcMar>
          </w:tcPr>
          <w:p>
            <w:r>
              <w:rPr>
                <w:b w:val="false"/>
                <w:bCs w:val="false"/>
              </w:rPr>
              <w:t xml:space="preserve">1992.23</w:t>
            </w:r>
          </w:p>
        </w:tc>
        <w:tc>
          <w:tcPr>
            <w:tcW w:type="dxa" w:w="1660"/>
            <w:tcMar>
              <w:top w:type="dxa" w:w="80"/>
              <w:left w:type="dxa" w:w="100"/>
              <w:bottom w:type="dxa" w:w="80"/>
              <w:right w:type="dxa" w:w="100"/>
            </w:tcMar>
          </w:tcPr>
          <w:p>
            <w:r>
              <w:rPr>
                <w:b w:val="false"/>
                <w:bCs w:val="false"/>
              </w:rPr>
              <w:t xml:space="preserve">2291.07</w:t>
            </w:r>
          </w:p>
        </w:tc>
      </w:tr>
      <w:tr>
        <w:tc>
          <w:tcPr>
            <w:tcW w:type="dxa" w:w="1500"/>
            <w:tcMar>
              <w:top w:type="dxa" w:w="80"/>
              <w:left w:type="dxa" w:w="100"/>
              <w:bottom w:type="dxa" w:w="80"/>
              <w:right w:type="dxa" w:w="100"/>
            </w:tcMar>
          </w:tcPr>
          <w:p>
            <w:r>
              <w:rPr>
                <w:b w:val="false"/>
                <w:bCs w:val="false"/>
              </w:rPr>
              <w:t xml:space="preserve">PT</w:t>
            </w:r>
          </w:p>
        </w:tc>
        <w:tc>
          <w:tcPr>
            <w:tcW w:type="dxa" w:w="1800"/>
            <w:tcMar>
              <w:top w:type="dxa" w:w="80"/>
              <w:left w:type="dxa" w:w="100"/>
              <w:bottom w:type="dxa" w:w="80"/>
              <w:right w:type="dxa" w:w="100"/>
            </w:tcMar>
          </w:tcPr>
          <w:p>
            <w:r>
              <w:rPr>
                <w:b w:val="false"/>
                <w:bCs w:val="false"/>
              </w:rPr>
              <w:t xml:space="preserve">—</w:t>
            </w:r>
          </w:p>
        </w:tc>
        <w:tc>
          <w:tcPr>
            <w:tcW w:type="dxa" w:w="1300"/>
            <w:tcMar>
              <w:top w:type="dxa" w:w="80"/>
              <w:left w:type="dxa" w:w="100"/>
              <w:bottom w:type="dxa" w:w="80"/>
              <w:right w:type="dxa" w:w="100"/>
            </w:tcMar>
          </w:tcPr>
          <w:p>
            <w:r>
              <w:rPr>
                <w:b w:val="false"/>
                <w:bCs w:val="false"/>
              </w:rPr>
              <w:t xml:space="preserve">20</w:t>
            </w:r>
          </w:p>
        </w:tc>
        <w:tc>
          <w:tcPr>
            <w:tcW w:type="dxa" w:w="1500"/>
            <w:tcMar>
              <w:top w:type="dxa" w:w="80"/>
              <w:left w:type="dxa" w:w="100"/>
              <w:bottom w:type="dxa" w:w="80"/>
              <w:right w:type="dxa" w:w="100"/>
            </w:tcMar>
          </w:tcPr>
          <w:p>
            <w:r>
              <w:rPr>
                <w:b w:val="false"/>
                <w:bCs w:val="false"/>
              </w:rPr>
              <w:t xml:space="preserve">60</w:t>
            </w:r>
          </w:p>
        </w:tc>
        <w:tc>
          <w:tcPr>
            <w:tcW w:type="dxa" w:w="1600"/>
            <w:tcMar>
              <w:top w:type="dxa" w:w="80"/>
              <w:left w:type="dxa" w:w="100"/>
              <w:bottom w:type="dxa" w:w="80"/>
              <w:right w:type="dxa" w:w="100"/>
            </w:tcMar>
          </w:tcPr>
          <w:p>
            <w:r>
              <w:rPr>
                <w:b w:val="false"/>
                <w:bCs w:val="false"/>
              </w:rPr>
              <w:t xml:space="preserve">1985.03</w:t>
            </w:r>
          </w:p>
        </w:tc>
        <w:tc>
          <w:tcPr>
            <w:tcW w:type="dxa" w:w="1660"/>
            <w:tcMar>
              <w:top w:type="dxa" w:w="80"/>
              <w:left w:type="dxa" w:w="100"/>
              <w:bottom w:type="dxa" w:w="80"/>
              <w:right w:type="dxa" w:w="100"/>
            </w:tcMar>
          </w:tcPr>
          <w:p>
            <w:r>
              <w:rPr>
                <w:b w:val="false"/>
                <w:bCs w:val="false"/>
              </w:rPr>
              <w:t xml:space="preserve">2282.78</w:t>
            </w:r>
          </w:p>
        </w:tc>
      </w:tr>
      <w:tr>
        <w:tc>
          <w:tcPr>
            <w:tcW w:type="dxa" w:w="1500"/>
            <w:tcMar>
              <w:top w:type="dxa" w:w="80"/>
              <w:left w:type="dxa" w:w="100"/>
              <w:bottom w:type="dxa" w:w="80"/>
              <w:right w:type="dxa" w:w="100"/>
            </w:tcMar>
          </w:tcPr>
          <w:p>
            <w:r>
              <w:rPr>
                <w:b w:val="false"/>
                <w:bCs w:val="false"/>
              </w:rPr>
              <w:t xml:space="preserve">IE</w:t>
            </w:r>
          </w:p>
        </w:tc>
        <w:tc>
          <w:tcPr>
            <w:tcW w:type="dxa" w:w="1800"/>
            <w:tcMar>
              <w:top w:type="dxa" w:w="80"/>
              <w:left w:type="dxa" w:w="100"/>
              <w:bottom w:type="dxa" w:w="80"/>
              <w:right w:type="dxa" w:w="100"/>
            </w:tcMar>
          </w:tcPr>
          <w:p>
            <w:r>
              <w:rPr>
                <w:b w:val="false"/>
                <w:bCs w:val="false"/>
              </w:rPr>
              <w:t xml:space="preserve">Ireland</w:t>
            </w:r>
          </w:p>
        </w:tc>
        <w:tc>
          <w:tcPr>
            <w:tcW w:type="dxa" w:w="1300"/>
            <w:tcMar>
              <w:top w:type="dxa" w:w="80"/>
              <w:left w:type="dxa" w:w="100"/>
              <w:bottom w:type="dxa" w:w="80"/>
              <w:right w:type="dxa" w:w="100"/>
            </w:tcMar>
          </w:tcPr>
          <w:p>
            <w:r>
              <w:rPr>
                <w:b w:val="false"/>
                <w:bCs w:val="false"/>
              </w:rPr>
              <w:t xml:space="preserve">19</w:t>
            </w:r>
          </w:p>
        </w:tc>
        <w:tc>
          <w:tcPr>
            <w:tcW w:type="dxa" w:w="1500"/>
            <w:tcMar>
              <w:top w:type="dxa" w:w="80"/>
              <w:left w:type="dxa" w:w="100"/>
              <w:bottom w:type="dxa" w:w="80"/>
              <w:right w:type="dxa" w:w="100"/>
            </w:tcMar>
          </w:tcPr>
          <w:p>
            <w:r>
              <w:rPr>
                <w:b w:val="false"/>
                <w:bCs w:val="false"/>
              </w:rPr>
              <w:t xml:space="preserve">46</w:t>
            </w:r>
          </w:p>
        </w:tc>
        <w:tc>
          <w:tcPr>
            <w:tcW w:type="dxa" w:w="1600"/>
            <w:tcMar>
              <w:top w:type="dxa" w:w="80"/>
              <w:left w:type="dxa" w:w="100"/>
              <w:bottom w:type="dxa" w:w="80"/>
              <w:right w:type="dxa" w:w="100"/>
            </w:tcMar>
          </w:tcPr>
          <w:p>
            <w:r>
              <w:rPr>
                <w:b w:val="false"/>
                <w:bCs w:val="false"/>
              </w:rPr>
              <w:t xml:space="preserve">1854.43</w:t>
            </w:r>
          </w:p>
        </w:tc>
        <w:tc>
          <w:tcPr>
            <w:tcW w:type="dxa" w:w="1660"/>
            <w:tcMar>
              <w:top w:type="dxa" w:w="80"/>
              <w:left w:type="dxa" w:w="100"/>
              <w:bottom w:type="dxa" w:w="80"/>
              <w:right w:type="dxa" w:w="100"/>
            </w:tcMar>
          </w:tcPr>
          <w:p>
            <w:r>
              <w:rPr>
                <w:b w:val="false"/>
                <w:bCs w:val="false"/>
              </w:rPr>
              <w:t xml:space="preserve">2132.6</w:t>
            </w:r>
          </w:p>
        </w:tc>
      </w:tr>
      <w:tr>
        <w:tc>
          <w:tcPr>
            <w:tcW w:type="dxa" w:w="1500"/>
            <w:tcMar>
              <w:top w:type="dxa" w:w="80"/>
              <w:left w:type="dxa" w:w="100"/>
              <w:bottom w:type="dxa" w:w="80"/>
              <w:right w:type="dxa" w:w="100"/>
            </w:tcMar>
          </w:tcPr>
          <w:p>
            <w:r>
              <w:rPr>
                <w:b w:val="false"/>
                <w:bCs w:val="false"/>
              </w:rPr>
              <w:t xml:space="preserve">IT</w:t>
            </w:r>
          </w:p>
        </w:tc>
        <w:tc>
          <w:tcPr>
            <w:tcW w:type="dxa" w:w="1800"/>
            <w:tcMar>
              <w:top w:type="dxa" w:w="80"/>
              <w:left w:type="dxa" w:w="100"/>
              <w:bottom w:type="dxa" w:w="80"/>
              <w:right w:type="dxa" w:w="100"/>
            </w:tcMar>
          </w:tcPr>
          <w:p>
            <w:r>
              <w:rPr>
                <w:b w:val="false"/>
                <w:bCs w:val="false"/>
              </w:rPr>
              <w:t xml:space="preserve">Italy</w:t>
            </w:r>
          </w:p>
        </w:tc>
        <w:tc>
          <w:tcPr>
            <w:tcW w:type="dxa" w:w="1300"/>
            <w:tcMar>
              <w:top w:type="dxa" w:w="80"/>
              <w:left w:type="dxa" w:w="100"/>
              <w:bottom w:type="dxa" w:w="80"/>
              <w:right w:type="dxa" w:w="100"/>
            </w:tcMar>
          </w:tcPr>
          <w:p>
            <w:r>
              <w:rPr>
                <w:b w:val="false"/>
                <w:bCs w:val="false"/>
              </w:rPr>
              <w:t xml:space="preserve">28</w:t>
            </w:r>
          </w:p>
        </w:tc>
        <w:tc>
          <w:tcPr>
            <w:tcW w:type="dxa" w:w="1500"/>
            <w:tcMar>
              <w:top w:type="dxa" w:w="80"/>
              <w:left w:type="dxa" w:w="100"/>
              <w:bottom w:type="dxa" w:w="80"/>
              <w:right w:type="dxa" w:w="100"/>
            </w:tcMar>
          </w:tcPr>
          <w:p>
            <w:r>
              <w:rPr>
                <w:b w:val="false"/>
                <w:bCs w:val="false"/>
              </w:rPr>
              <w:t xml:space="preserve">57</w:t>
            </w:r>
          </w:p>
        </w:tc>
        <w:tc>
          <w:tcPr>
            <w:tcW w:type="dxa" w:w="1600"/>
            <w:tcMar>
              <w:top w:type="dxa" w:w="80"/>
              <w:left w:type="dxa" w:w="100"/>
              <w:bottom w:type="dxa" w:w="80"/>
              <w:right w:type="dxa" w:w="100"/>
            </w:tcMar>
          </w:tcPr>
          <w:p>
            <w:r>
              <w:rPr>
                <w:b w:val="false"/>
                <w:bCs w:val="false"/>
              </w:rPr>
              <w:t xml:space="preserve">1781.22</w:t>
            </w:r>
          </w:p>
        </w:tc>
        <w:tc>
          <w:tcPr>
            <w:tcW w:type="dxa" w:w="1660"/>
            <w:tcMar>
              <w:top w:type="dxa" w:w="80"/>
              <w:left w:type="dxa" w:w="100"/>
              <w:bottom w:type="dxa" w:w="80"/>
              <w:right w:type="dxa" w:w="100"/>
            </w:tcMar>
          </w:tcPr>
          <w:p>
            <w:r>
              <w:rPr>
                <w:b w:val="false"/>
                <w:bCs w:val="false"/>
              </w:rPr>
              <w:t xml:space="preserve">2048.4</w:t>
            </w:r>
          </w:p>
        </w:tc>
      </w:tr>
      <w:tr>
        <w:tc>
          <w:tcPr>
            <w:tcW w:type="dxa" w:w="1500"/>
            <w:tcMar>
              <w:top w:type="dxa" w:w="80"/>
              <w:left w:type="dxa" w:w="100"/>
              <w:bottom w:type="dxa" w:w="80"/>
              <w:right w:type="dxa" w:w="100"/>
            </w:tcMar>
          </w:tcPr>
          <w:p>
            <w:r>
              <w:rPr>
                <w:b w:val="false"/>
                <w:bCs w:val="false"/>
              </w:rPr>
              <w:t xml:space="preserve">NL</w:t>
            </w:r>
          </w:p>
        </w:tc>
        <w:tc>
          <w:tcPr>
            <w:tcW w:type="dxa" w:w="1800"/>
            <w:tcMar>
              <w:top w:type="dxa" w:w="80"/>
              <w:left w:type="dxa" w:w="100"/>
              <w:bottom w:type="dxa" w:w="80"/>
              <w:right w:type="dxa" w:w="100"/>
            </w:tcMar>
          </w:tcPr>
          <w:p>
            <w:r>
              <w:rPr>
                <w:b w:val="false"/>
                <w:bCs w:val="false"/>
              </w:rPr>
              <w:t xml:space="preserve">—</w:t>
            </w:r>
          </w:p>
        </w:tc>
        <w:tc>
          <w:tcPr>
            <w:tcW w:type="dxa" w:w="1300"/>
            <w:tcMar>
              <w:top w:type="dxa" w:w="80"/>
              <w:left w:type="dxa" w:w="100"/>
              <w:bottom w:type="dxa" w:w="80"/>
              <w:right w:type="dxa" w:w="100"/>
            </w:tcMar>
          </w:tcPr>
          <w:p>
            <w:r>
              <w:rPr>
                <w:b w:val="false"/>
                <w:bCs w:val="false"/>
              </w:rPr>
              <w:t xml:space="preserve">19</w:t>
            </w:r>
          </w:p>
        </w:tc>
        <w:tc>
          <w:tcPr>
            <w:tcW w:type="dxa" w:w="1500"/>
            <w:tcMar>
              <w:top w:type="dxa" w:w="80"/>
              <w:left w:type="dxa" w:w="100"/>
              <w:bottom w:type="dxa" w:w="80"/>
              <w:right w:type="dxa" w:w="100"/>
            </w:tcMar>
          </w:tcPr>
          <w:p>
            <w:r>
              <w:rPr>
                <w:b w:val="false"/>
                <w:bCs w:val="false"/>
              </w:rPr>
              <w:t xml:space="preserve">55</w:t>
            </w:r>
          </w:p>
        </w:tc>
        <w:tc>
          <w:tcPr>
            <w:tcW w:type="dxa" w:w="1600"/>
            <w:tcMar>
              <w:top w:type="dxa" w:w="80"/>
              <w:left w:type="dxa" w:w="100"/>
              <w:bottom w:type="dxa" w:w="80"/>
              <w:right w:type="dxa" w:w="100"/>
            </w:tcMar>
          </w:tcPr>
          <w:p>
            <w:r>
              <w:rPr>
                <w:b w:val="false"/>
                <w:bCs w:val="false"/>
              </w:rPr>
              <w:t xml:space="preserve">1769.83</w:t>
            </w:r>
          </w:p>
        </w:tc>
        <w:tc>
          <w:tcPr>
            <w:tcW w:type="dxa" w:w="1660"/>
            <w:tcMar>
              <w:top w:type="dxa" w:w="80"/>
              <w:left w:type="dxa" w:w="100"/>
              <w:bottom w:type="dxa" w:w="80"/>
              <w:right w:type="dxa" w:w="100"/>
            </w:tcMar>
          </w:tcPr>
          <w:p>
            <w:r>
              <w:rPr>
                <w:b w:val="false"/>
                <w:bCs w:val="false"/>
              </w:rPr>
              <w:t xml:space="preserve">2035.3</w:t>
            </w:r>
          </w:p>
        </w:tc>
      </w:tr>
    </w:tbl>
    <w:p/>
    <w:p>
      <w:r>
        <w:rPr>
          <w:i/>
          <w:iCs/>
          <w:sz w:val="20"/>
          <w:szCs w:val="20"/>
        </w:rPr>
        <w:t xml:space="preserve">Note : PT (référentiel inactif) et NL (absent du référentiel pays) n'ont pas de country_name associé — la jointure gère ce cas sans faire échouer le pipeline.</w:t>
      </w:r>
    </w:p>
    <w:p>
      <w:pPr>
        <w:pStyle w:val="Heading1"/>
      </w:pPr>
      <w:r>
        <w:t xml:space="preserve">4. Modélisation de la base finale</w:t>
      </w:r>
    </w:p>
    <w:p>
      <w:r>
        <w:t xml:space="preserve">La base finale s'organise autour d'une table de faits (fact_sales), de quatre tables de référence (dim_books, dim_countries, dim_channels, dim_category_rules) et d'une table agrégée exploitable directement (agg_sales_by_country).</w:t>
      </w:r>
    </w:p>
    <w:p/>
    <w:p>
      <w:pPr>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81425"/>
                    </a:xfrm>
                    <a:prstGeom prst="rect">
                      <a:avLst/>
                    </a:prstGeom>
                  </pic:spPr>
                </pic:pic>
              </a:graphicData>
            </a:graphic>
          </wp:inline>
        </w:drawing>
      </w:r>
    </w:p>
    <w:p>
      <w:pPr>
        <w:jc w:val="center"/>
      </w:pPr>
      <w:r>
        <w:rPr>
          <w:i/>
          <w:iCs/>
          <w:sz w:val="20"/>
          <w:szCs w:val="20"/>
        </w:rPr>
        <w:t xml:space="preserve">Figure 1 — Schéma entité-relation de la base finale BookWorld</w:t>
      </w:r>
    </w:p>
    <w:p>
      <w:pPr>
        <w:pStyle w:val="Heading1"/>
      </w:pPr>
      <w:r>
        <w:t xml:space="preserve">5. Conformité RGPD</w:t>
      </w:r>
    </w:p>
    <w:p>
      <w:r>
        <w:t xml:space="preserve">Le fichier source sales_raw.csv contient deux colonnes à caractère personnel : customer_first_name et customer_last_name (prénom et nom du client associé à chaque commande). Ces données identifient directement une personne physique et constituent donc des données à caractère personnel au sens du RGPD.</w:t>
      </w:r>
    </w:p>
    <w:p>
      <w:pPr>
        <w:pStyle w:val="Heading2"/>
      </w:pPr>
      <w:r>
        <w:t xml:space="preserve">5.1 Analyse de nécessité</w:t>
      </w:r>
    </w:p>
    <w:p>
      <w:r>
        <w:t xml:space="preserve">L'usage final de la base BookWorld est une analyse agrégée des ventes (par pays, par livre, par canal) : volumes, chiffre d'affaires en GBP/EUR, marges. Aucun traitement prévu ne nécessite d'identifier un client précis — le nom et le prénom n'apportent aucune valeur analytique à ce niveau de granularité. Conformément au principe de minimisation des données (article 5.1.c du RGPD — les données traitées doivent être « adéquates, pertinentes et limitées à ce qui est nécessaire »), ces deux colonnes ne sont donc pas conservées dans la base finale.</w:t>
      </w:r>
    </w:p>
    <w:p>
      <w:pPr>
        <w:pStyle w:val="Heading2"/>
      </w:pPr>
      <w:r>
        <w:t xml:space="preserve">5.2 Mise en œuvre technique</w:t>
      </w:r>
    </w:p>
    <w:p>
      <w:pPr>
        <w:pStyle w:val="ListParagraph"/>
        <w:numPr>
          <w:ilvl w:val="0"/>
          <w:numId w:val="1"/>
        </w:numPr>
      </w:pPr>
      <w:r>
        <w:t xml:space="preserve">schema_final.sql ne déclare aucune colonne customer_first_name / customer_last_name : la table fact_sales est structurellement incapable de les stocker.</w:t>
      </w:r>
    </w:p>
    <w:p>
      <w:pPr>
        <w:pStyle w:val="ListParagraph"/>
        <w:numPr>
          <w:ilvl w:val="0"/>
          <w:numId w:val="1"/>
        </w:numPr>
      </w:pPr>
      <w:r>
        <w:t xml:space="preserve">Dans pipeline.py, l'insertion dans fact_sales passe par une whitelist explicite de colonnes (FACT_SALES_COLUMNS) plutôt que par un simple drop des colonnes personnelles — même si une colonne personnelle supplémentaire apparaissait un jour dans les données sources, elle ne pourrait pas être écrite en base par erreur.</w:t>
      </w:r>
    </w:p>
    <w:p>
      <w:pPr>
        <w:pStyle w:val="ListParagraph"/>
        <w:numPr>
          <w:ilvl w:val="0"/>
          <w:numId w:val="1"/>
        </w:numPr>
      </w:pPr>
      <w:r>
        <w:t xml:space="preserve">La colonne book_name (redondante avec dim_books) est également exclue de fact_sales, par souci de normalisation — elle ne pose pas de problème RGPD mais évite la duplication.</w:t>
      </w:r>
    </w:p>
    <w:p/>
    <w:p>
      <w:pPr>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33600"/>
                    </a:xfrm>
                    <a:prstGeom prst="rect">
                      <a:avLst/>
                    </a:prstGeom>
                  </pic:spPr>
                </pic:pic>
              </a:graphicData>
            </a:graphic>
          </wp:inline>
        </w:drawing>
      </w:r>
    </w:p>
    <w:p>
      <w:pPr>
        <w:jc w:val="center"/>
      </w:pPr>
      <w:r>
        <w:rPr>
          <w:i/>
          <w:iCs/>
          <w:sz w:val="20"/>
          <w:szCs w:val="20"/>
        </w:rPr>
        <w:t xml:space="preserve">Figure 2 — Colonnes personnelles exclues entre sales_raw.csv et fact_sales</w:t>
      </w:r>
    </w:p>
    <w:p/>
    <w:p>
      <w:r>
        <w:t xml:space="preserve">Vérification effectuée sur la base bookworld_final.db générée : la requête PRAGMA table_info(fact_sales) confirme que les colonnes de la table sont limitées à order_id, order_date, book_id, country_code, channel_code, quantity, discount_rate, revenue_gbp et revenue_eur — aucune colonne personnelle n'est présente.</w:t>
      </w:r>
    </w:p>
    <w:p>
      <w:pPr>
        <w:pStyle w:val="Heading1"/>
      </w:pPr>
      <w:r>
        <w:t xml:space="preserve">6. Limites connues</w:t>
      </w:r>
    </w:p>
    <w:p>
      <w:r>
        <w:t xml:space="preserve">Le référentiel pays de bookworld_reference.db ne contient aucune ligne pour les Pays-Bas (NL), alors que des commandes NL existent dans sales_raw.csv ; le Portugal (PT) y est présent mais marqué inactif. Les clés étrangères du schéma final sont donc déclarées à titre documentaire (cohérentes avec le schéma ER) mais non appliquées strictement, afin de ne pas rejeter ces commandes réelles. Dans agg_sales_by_country, ces deux pays apparaissent avec un country_name manquant plutôt que d'être supprimés du jeu de données.</w:t>
      </w:r>
    </w:p>
    <w:p>
      <w:pPr>
        <w:pStyle w:val="Heading1"/>
      </w:pPr>
      <w:r>
        <w:t xml:space="preserve">7. API REST</w:t>
      </w:r>
    </w:p>
    <w:p>
      <w:r>
        <w:t xml:space="preserve">Une API REST (api.py, Flask) met à disposition les données de la base finale bookworld_final.db. Elle se lance avec « python api.py » (après avoir généré la base via pipeline.py) et écoute par défaut sur http://127.0.0.1:5000.</w:t>
      </w:r>
    </w:p>
    <w:p>
      <w:pPr>
        <w:pStyle w:val="Heading2"/>
      </w:pPr>
      <w:r>
        <w:t xml:space="preserve">7.1 Authentification</w:t>
      </w:r>
    </w:p>
    <w:p>
      <w:r>
        <w:t xml:space="preserve">Chaque requête (à l'exception de /health) doit porter un en-tête HTTP X-API-Key dont la valeur correspond à la variable d'environnement API_TOKEN définie côté serveur (export API_TOKEN="mon-token-secret" avant le lancement). Sans cette variable, un token de développement par défaut est utilisé et un avertissement est loggé — à ne jamais utiliser tel quel en production.</w:t>
      </w:r>
    </w:p>
    <w:p>
      <w:pPr>
        <w:pStyle w:val="ListParagraph"/>
        <w:numPr>
          <w:ilvl w:val="0"/>
          <w:numId w:val="1"/>
        </w:numPr>
      </w:pPr>
      <w:r>
        <w:t xml:space="preserve">En-tête manquant → 401 Unauthorized</w:t>
      </w:r>
    </w:p>
    <w:p>
      <w:pPr>
        <w:pStyle w:val="ListParagraph"/>
        <w:numPr>
          <w:ilvl w:val="0"/>
          <w:numId w:val="1"/>
        </w:numPr>
      </w:pPr>
      <w:r>
        <w:t xml:space="preserve">Token incorrect → 403 Forbidden</w:t>
      </w:r>
    </w:p>
    <w:p>
      <w:pPr>
        <w:pStyle w:val="ListParagraph"/>
        <w:numPr>
          <w:ilvl w:val="0"/>
          <w:numId w:val="1"/>
        </w:numPr>
      </w:pPr>
      <w:r>
        <w:t xml:space="preserve">Token correct → 200 OK et les données demandées</w:t>
      </w:r>
    </w:p>
    <w:p>
      <w:pPr>
        <w:pStyle w:val="Heading2"/>
      </w:pPr>
      <w:r>
        <w:t xml:space="preserve">7.2 Endpoints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800"/>
        <w:gridCol w:w="5560"/>
      </w:tblGrid>
      <w:tr>
        <w:trPr>
          <w:tblHeader/>
        </w:trPr>
        <w:tc>
          <w:tcPr>
            <w:tcW w:type="dxa" w:w="1000"/>
            <w:shd w:fill="2F4B7C" w:val="clear"/>
            <w:tcMar>
              <w:top w:type="dxa" w:w="80"/>
              <w:left w:type="dxa" w:w="100"/>
              <w:bottom w:type="dxa" w:w="80"/>
              <w:right w:type="dxa" w:w="100"/>
            </w:tcMar>
          </w:tcPr>
          <w:p>
            <w:r>
              <w:rPr>
                <w:b/>
                <w:bCs/>
                <w:color w:val="FFFFFF"/>
              </w:rPr>
              <w:t xml:space="preserve">Méthode</w:t>
            </w:r>
          </w:p>
        </w:tc>
        <w:tc>
          <w:tcPr>
            <w:tcW w:type="dxa" w:w="2000"/>
            <w:shd w:fill="2F4B7C" w:val="clear"/>
            <w:tcMar>
              <w:top w:type="dxa" w:w="80"/>
              <w:left w:type="dxa" w:w="100"/>
              <w:bottom w:type="dxa" w:w="80"/>
              <w:right w:type="dxa" w:w="100"/>
            </w:tcMar>
          </w:tcPr>
          <w:p>
            <w:r>
              <w:rPr>
                <w:b/>
                <w:bCs/>
                <w:color w:val="FFFFFF"/>
              </w:rPr>
              <w:t xml:space="preserve">Endpoint</w:t>
            </w:r>
          </w:p>
        </w:tc>
        <w:tc>
          <w:tcPr>
            <w:tcW w:type="dxa" w:w="800"/>
            <w:shd w:fill="2F4B7C" w:val="clear"/>
            <w:tcMar>
              <w:top w:type="dxa" w:w="80"/>
              <w:left w:type="dxa" w:w="100"/>
              <w:bottom w:type="dxa" w:w="80"/>
              <w:right w:type="dxa" w:w="100"/>
            </w:tcMar>
          </w:tcPr>
          <w:p>
            <w:r>
              <w:rPr>
                <w:b/>
                <w:bCs/>
                <w:color w:val="FFFFFF"/>
              </w:rPr>
              <w:t xml:space="preserve">Auth</w:t>
            </w:r>
          </w:p>
        </w:tc>
        <w:tc>
          <w:tcPr>
            <w:tcW w:type="dxa" w:w="5560"/>
            <w:shd w:fill="2F4B7C" w:val="clear"/>
            <w:tcMar>
              <w:top w:type="dxa" w:w="80"/>
              <w:left w:type="dxa" w:w="100"/>
              <w:bottom w:type="dxa" w:w="80"/>
              <w:right w:type="dxa" w:w="100"/>
            </w:tcMar>
          </w:tcPr>
          <w:p>
            <w:r>
              <w:rPr>
                <w:b/>
                <w:bCs/>
                <w:color w:val="FFFFFF"/>
              </w:rPr>
              <w:t xml:space="preserve">Description</w:t>
            </w:r>
          </w:p>
        </w:tc>
      </w:tr>
      <w:tr>
        <w:tc>
          <w:tcPr>
            <w:tcW w:type="dxa" w:w="1000"/>
            <w:tcMar>
              <w:top w:type="dxa" w:w="80"/>
              <w:left w:type="dxa" w:w="100"/>
              <w:bottom w:type="dxa" w:w="80"/>
              <w:right w:type="dxa" w:w="100"/>
            </w:tcMar>
          </w:tcPr>
          <w:p>
            <w:r>
              <w:rPr>
                <w:b w:val="false"/>
                <w:bCs w:val="false"/>
              </w:rPr>
              <w:t xml:space="preserve">GET</w:t>
            </w:r>
          </w:p>
        </w:tc>
        <w:tc>
          <w:tcPr>
            <w:tcW w:type="dxa" w:w="2000"/>
            <w:tcMar>
              <w:top w:type="dxa" w:w="80"/>
              <w:left w:type="dxa" w:w="100"/>
              <w:bottom w:type="dxa" w:w="80"/>
              <w:right w:type="dxa" w:w="100"/>
            </w:tcMar>
          </w:tcPr>
          <w:p>
            <w:r>
              <w:rPr>
                <w:b w:val="false"/>
                <w:bCs w:val="false"/>
              </w:rPr>
              <w:t xml:space="preserve">/health</w:t>
            </w:r>
          </w:p>
        </w:tc>
        <w:tc>
          <w:tcPr>
            <w:tcW w:type="dxa" w:w="800"/>
            <w:tcMar>
              <w:top w:type="dxa" w:w="80"/>
              <w:left w:type="dxa" w:w="100"/>
              <w:bottom w:type="dxa" w:w="80"/>
              <w:right w:type="dxa" w:w="100"/>
            </w:tcMar>
          </w:tcPr>
          <w:p>
            <w:r>
              <w:rPr>
                <w:b w:val="false"/>
                <w:bCs w:val="false"/>
              </w:rPr>
              <w:t xml:space="preserve">Non</w:t>
            </w:r>
          </w:p>
        </w:tc>
        <w:tc>
          <w:tcPr>
            <w:tcW w:type="dxa" w:w="5560"/>
            <w:tcMar>
              <w:top w:type="dxa" w:w="80"/>
              <w:left w:type="dxa" w:w="100"/>
              <w:bottom w:type="dxa" w:w="80"/>
              <w:right w:type="dxa" w:w="100"/>
            </w:tcMar>
          </w:tcPr>
          <w:p>
            <w:r>
              <w:rPr>
                <w:b w:val="false"/>
                <w:bCs w:val="false"/>
              </w:rPr>
              <w:t xml:space="preserve">État de l'API et de la connexion à la base finale.</w:t>
            </w:r>
          </w:p>
        </w:tc>
      </w:tr>
      <w:tr>
        <w:tc>
          <w:tcPr>
            <w:tcW w:type="dxa" w:w="1000"/>
            <w:tcMar>
              <w:top w:type="dxa" w:w="80"/>
              <w:left w:type="dxa" w:w="100"/>
              <w:bottom w:type="dxa" w:w="80"/>
              <w:right w:type="dxa" w:w="100"/>
            </w:tcMar>
          </w:tcPr>
          <w:p>
            <w:r>
              <w:rPr>
                <w:b w:val="false"/>
                <w:bCs w:val="false"/>
              </w:rPr>
              <w:t xml:space="preserve">GET</w:t>
            </w:r>
          </w:p>
        </w:tc>
        <w:tc>
          <w:tcPr>
            <w:tcW w:type="dxa" w:w="2000"/>
            <w:tcMar>
              <w:top w:type="dxa" w:w="80"/>
              <w:left w:type="dxa" w:w="100"/>
              <w:bottom w:type="dxa" w:w="80"/>
              <w:right w:type="dxa" w:w="100"/>
            </w:tcMar>
          </w:tcPr>
          <w:p>
            <w:r>
              <w:rPr>
                <w:b w:val="false"/>
                <w:bCs w:val="false"/>
              </w:rPr>
              <w:t xml:space="preserve">/sales-by-country</w:t>
            </w:r>
          </w:p>
        </w:tc>
        <w:tc>
          <w:tcPr>
            <w:tcW w:type="dxa" w:w="800"/>
            <w:tcMar>
              <w:top w:type="dxa" w:w="80"/>
              <w:left w:type="dxa" w:w="100"/>
              <w:bottom w:type="dxa" w:w="80"/>
              <w:right w:type="dxa" w:w="100"/>
            </w:tcMar>
          </w:tcPr>
          <w:p>
            <w:r>
              <w:rPr>
                <w:b w:val="false"/>
                <w:bCs w:val="false"/>
              </w:rPr>
              <w:t xml:space="preserve">Oui</w:t>
            </w:r>
          </w:p>
        </w:tc>
        <w:tc>
          <w:tcPr>
            <w:tcW w:type="dxa" w:w="5560"/>
            <w:tcMar>
              <w:top w:type="dxa" w:w="80"/>
              <w:left w:type="dxa" w:w="100"/>
              <w:bottom w:type="dxa" w:w="80"/>
              <w:right w:type="dxa" w:w="100"/>
            </w:tcMar>
          </w:tcPr>
          <w:p>
            <w:r>
              <w:rPr>
                <w:b w:val="false"/>
                <w:bCs w:val="false"/>
              </w:rPr>
              <w:t xml:space="preserve">Agrégation des ventes par pays (table agg_sales_by_country).</w:t>
            </w:r>
          </w:p>
        </w:tc>
      </w:tr>
      <w:tr>
        <w:tc>
          <w:tcPr>
            <w:tcW w:type="dxa" w:w="1000"/>
            <w:tcMar>
              <w:top w:type="dxa" w:w="80"/>
              <w:left w:type="dxa" w:w="100"/>
              <w:bottom w:type="dxa" w:w="80"/>
              <w:right w:type="dxa" w:w="100"/>
            </w:tcMar>
          </w:tcPr>
          <w:p>
            <w:r>
              <w:rPr>
                <w:b w:val="false"/>
                <w:bCs w:val="false"/>
              </w:rPr>
              <w:t xml:space="preserve">GET</w:t>
            </w:r>
          </w:p>
        </w:tc>
        <w:tc>
          <w:tcPr>
            <w:tcW w:type="dxa" w:w="2000"/>
            <w:tcMar>
              <w:top w:type="dxa" w:w="80"/>
              <w:left w:type="dxa" w:w="100"/>
              <w:bottom w:type="dxa" w:w="80"/>
              <w:right w:type="dxa" w:w="100"/>
            </w:tcMar>
          </w:tcPr>
          <w:p>
            <w:r>
              <w:rPr>
                <w:b w:val="false"/>
                <w:bCs w:val="false"/>
              </w:rPr>
              <w:t xml:space="preserve">/books</w:t>
            </w:r>
          </w:p>
        </w:tc>
        <w:tc>
          <w:tcPr>
            <w:tcW w:type="dxa" w:w="800"/>
            <w:tcMar>
              <w:top w:type="dxa" w:w="80"/>
              <w:left w:type="dxa" w:w="100"/>
              <w:bottom w:type="dxa" w:w="80"/>
              <w:right w:type="dxa" w:w="100"/>
            </w:tcMar>
          </w:tcPr>
          <w:p>
            <w:r>
              <w:rPr>
                <w:b w:val="false"/>
                <w:bCs w:val="false"/>
              </w:rPr>
              <w:t xml:space="preserve">Oui</w:t>
            </w:r>
          </w:p>
        </w:tc>
        <w:tc>
          <w:tcPr>
            <w:tcW w:type="dxa" w:w="5560"/>
            <w:tcMar>
              <w:top w:type="dxa" w:w="80"/>
              <w:left w:type="dxa" w:w="100"/>
              <w:bottom w:type="dxa" w:w="80"/>
              <w:right w:type="dxa" w:w="100"/>
            </w:tcMar>
          </w:tcPr>
          <w:p>
            <w:r>
              <w:rPr>
                <w:b w:val="false"/>
                <w:bCs w:val="false"/>
              </w:rPr>
              <w:t xml:space="preserve">Catalogue des livres (table dim_books).</w:t>
            </w:r>
          </w:p>
        </w:tc>
      </w:tr>
      <w:tr>
        <w:tc>
          <w:tcPr>
            <w:tcW w:type="dxa" w:w="1000"/>
            <w:tcMar>
              <w:top w:type="dxa" w:w="80"/>
              <w:left w:type="dxa" w:w="100"/>
              <w:bottom w:type="dxa" w:w="80"/>
              <w:right w:type="dxa" w:w="100"/>
            </w:tcMar>
          </w:tcPr>
          <w:p>
            <w:r>
              <w:rPr>
                <w:b w:val="false"/>
                <w:bCs w:val="false"/>
              </w:rPr>
              <w:t xml:space="preserve">GET</w:t>
            </w:r>
          </w:p>
        </w:tc>
        <w:tc>
          <w:tcPr>
            <w:tcW w:type="dxa" w:w="2000"/>
            <w:tcMar>
              <w:top w:type="dxa" w:w="80"/>
              <w:left w:type="dxa" w:w="100"/>
              <w:bottom w:type="dxa" w:w="80"/>
              <w:right w:type="dxa" w:w="100"/>
            </w:tcMar>
          </w:tcPr>
          <w:p>
            <w:r>
              <w:rPr>
                <w:b w:val="false"/>
                <w:bCs w:val="false"/>
              </w:rPr>
              <w:t xml:space="preserve">/countries</w:t>
            </w:r>
          </w:p>
        </w:tc>
        <w:tc>
          <w:tcPr>
            <w:tcW w:type="dxa" w:w="800"/>
            <w:tcMar>
              <w:top w:type="dxa" w:w="80"/>
              <w:left w:type="dxa" w:w="100"/>
              <w:bottom w:type="dxa" w:w="80"/>
              <w:right w:type="dxa" w:w="100"/>
            </w:tcMar>
          </w:tcPr>
          <w:p>
            <w:r>
              <w:rPr>
                <w:b w:val="false"/>
                <w:bCs w:val="false"/>
              </w:rPr>
              <w:t xml:space="preserve">Oui</w:t>
            </w:r>
          </w:p>
        </w:tc>
        <w:tc>
          <w:tcPr>
            <w:tcW w:type="dxa" w:w="5560"/>
            <w:tcMar>
              <w:top w:type="dxa" w:w="80"/>
              <w:left w:type="dxa" w:w="100"/>
              <w:bottom w:type="dxa" w:w="80"/>
              <w:right w:type="dxa" w:w="100"/>
            </w:tcMar>
          </w:tcPr>
          <w:p>
            <w:r>
              <w:rPr>
                <w:b w:val="false"/>
                <w:bCs w:val="false"/>
              </w:rPr>
              <w:t xml:space="preserve">Référentiel pays (table dim_countries).</w:t>
            </w:r>
          </w:p>
        </w:tc>
      </w:tr>
      <w:tr>
        <w:tc>
          <w:tcPr>
            <w:tcW w:type="dxa" w:w="1000"/>
            <w:tcMar>
              <w:top w:type="dxa" w:w="80"/>
              <w:left w:type="dxa" w:w="100"/>
              <w:bottom w:type="dxa" w:w="80"/>
              <w:right w:type="dxa" w:w="100"/>
            </w:tcMar>
          </w:tcPr>
          <w:p>
            <w:r>
              <w:rPr>
                <w:b w:val="false"/>
                <w:bCs w:val="false"/>
              </w:rPr>
              <w:t xml:space="preserve">GET</w:t>
            </w:r>
          </w:p>
        </w:tc>
        <w:tc>
          <w:tcPr>
            <w:tcW w:type="dxa" w:w="2000"/>
            <w:tcMar>
              <w:top w:type="dxa" w:w="80"/>
              <w:left w:type="dxa" w:w="100"/>
              <w:bottom w:type="dxa" w:w="80"/>
              <w:right w:type="dxa" w:w="100"/>
            </w:tcMar>
          </w:tcPr>
          <w:p>
            <w:r>
              <w:rPr>
                <w:b w:val="false"/>
                <w:bCs w:val="false"/>
              </w:rPr>
              <w:t xml:space="preserve">/sales</w:t>
            </w:r>
          </w:p>
        </w:tc>
        <w:tc>
          <w:tcPr>
            <w:tcW w:type="dxa" w:w="800"/>
            <w:tcMar>
              <w:top w:type="dxa" w:w="80"/>
              <w:left w:type="dxa" w:w="100"/>
              <w:bottom w:type="dxa" w:w="80"/>
              <w:right w:type="dxa" w:w="100"/>
            </w:tcMar>
          </w:tcPr>
          <w:p>
            <w:r>
              <w:rPr>
                <w:b w:val="false"/>
                <w:bCs w:val="false"/>
              </w:rPr>
              <w:t xml:space="preserve">Oui</w:t>
            </w:r>
          </w:p>
        </w:tc>
        <w:tc>
          <w:tcPr>
            <w:tcW w:type="dxa" w:w="5560"/>
            <w:tcMar>
              <w:top w:type="dxa" w:w="80"/>
              <w:left w:type="dxa" w:w="100"/>
              <w:bottom w:type="dxa" w:w="80"/>
              <w:right w:type="dxa" w:w="100"/>
            </w:tcMar>
          </w:tcPr>
          <w:p>
            <w:r>
              <w:rPr>
                <w:b w:val="false"/>
                <w:bCs w:val="false"/>
              </w:rPr>
              <w:t xml:space="preserve">Ventes détaillées (fact_sales), filtrables par country_code, book_id, limit.</w:t>
            </w:r>
          </w:p>
        </w:tc>
      </w:tr>
    </w:tbl>
    <w:p/>
    <w:p>
      <w:pPr>
        <w:pStyle w:val="Heading2"/>
      </w:pPr>
      <w:r>
        <w:t xml:space="preserve">7.3 Exemples d'appel</w:t>
      </w:r>
    </w:p>
    <w:p>
      <w:r>
        <w:rPr>
          <w:rFonts w:ascii="Consolas" w:cs="Consolas" w:eastAsia="Consolas" w:hAnsi="Consolas"/>
          <w:sz w:val="20"/>
          <w:szCs w:val="20"/>
        </w:rPr>
        <w:t xml:space="preserve">curl http://127.0.0.1:5000/health</w:t>
      </w:r>
    </w:p>
    <w:p>
      <w:r>
        <w:rPr>
          <w:rFonts w:ascii="Consolas" w:cs="Consolas" w:eastAsia="Consolas" w:hAnsi="Consolas"/>
          <w:sz w:val="20"/>
          <w:szCs w:val="20"/>
        </w:rPr>
        <w:t xml:space="preserve">curl -H "X-API-Key: mon-token-secret" http://127.0.0.1:5000/sales-by-country</w:t>
      </w:r>
    </w:p>
    <w:p>
      <w:r>
        <w:rPr>
          <w:rFonts w:ascii="Consolas" w:cs="Consolas" w:eastAsia="Consolas" w:hAnsi="Consolas"/>
          <w:sz w:val="20"/>
          <w:szCs w:val="20"/>
        </w:rPr>
        <w:t xml:space="preserve">curl -H "X-API-Key: mon-token-secret" "http://127.0.0.1:5000/sales?country_code=FR&amp;limit=5"</w:t>
      </w:r>
    </w:p>
    <w:p/>
    <w:p>
      <w:r>
        <w:t xml:space="preserve">Testé localement : /health répond 200 sans authentification ; /sales-by-country répond 401 sans token, 403 avec un token incorrect, et 200 avec le token valide en renvoyant les 8 lignes de l'agrégation par pays ; une route inconnue répond 404.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d6c8981547fc468af19e3dc76151a97b8ebd2fc.png"/><Relationship Id="rId8" Type="http://schemas.openxmlformats.org/officeDocument/2006/relationships/image" Target="media/854df840f06c545bf3f6dee4bd8fabe9c094aea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2026-09-08T07:50:36.470Z</dcterms:created>
  <dcterms:modified xsi:type="dcterms:W3CDTF">2026-09-08T07:50:36.480Z</dcterms:modified>
</cp:coreProperties>
</file>

<file path=docProps/custom.xml><?xml version="1.0" encoding="utf-8"?>
<Properties xmlns="http://schemas.openxmlformats.org/officeDocument/2006/custom-properties" xmlns:vt="http://schemas.openxmlformats.org/officeDocument/2006/docPropsVTypes"/>
</file>