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jc w:val="center"/>
        <w:rPr>
          <w:sz w:val="40"/>
          <w:szCs w:val="40"/>
        </w:rPr>
      </w:pPr>
      <w:bookmarkStart w:colFirst="0" w:colLast="0" w:name="_f2jmp869u7w3" w:id="0"/>
      <w:bookmarkEnd w:id="0"/>
      <w:r w:rsidDel="00000000" w:rsidR="00000000" w:rsidRPr="00000000">
        <w:rPr>
          <w:sz w:val="40"/>
          <w:szCs w:val="40"/>
          <w:rtl w:val="0"/>
        </w:rPr>
        <w:t xml:space="preserve">“</w:t>
      </w:r>
      <w:r w:rsidDel="00000000" w:rsidR="00000000" w:rsidRPr="00000000">
        <w:rPr>
          <w:color w:val="222222"/>
          <w:sz w:val="40"/>
          <w:szCs w:val="40"/>
          <w:shd w:fill="f9f9f9" w:val="clear"/>
          <w:rtl w:val="0"/>
        </w:rPr>
        <w:t xml:space="preserve">Calculations of physicochemical descriptors”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widowControl w:val="0"/>
        <w:jc w:val="center"/>
        <w:rPr/>
      </w:pPr>
      <w:bookmarkStart w:colFirst="0" w:colLast="0" w:name="_9psq1q7jemc7" w:id="1"/>
      <w:bookmarkEnd w:id="1"/>
      <w:r w:rsidDel="00000000" w:rsidR="00000000" w:rsidRPr="00000000">
        <w:rPr>
          <w:rtl w:val="0"/>
        </w:rPr>
        <w:t xml:space="preserve">(with DataWarrior)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la era de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big 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la ciencia basada en datos, DataWarrior se destaca como una tecnología que combina la predicción de las propiedades fisicoquímicas de interés farmacéutico, los cálculos de quimioformáticos, el análisis de datos multivariados y la visualización interactiva con gráficos dinámicos. Las herramientas bien establecidas de quimioinformática implementadas en DataWarrior, así como los algoritmos innovadores, hacen que la tecnología sea útil y atractiva como lo revela el creciente número de aplicaciones documentadas.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before="200" w:line="21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DataWarrior es un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software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abierto e interactivo utilizado principalmente en proyectos de descubrimiento de fármacos para generación, análisis y visualización de datos. Puede descargarse en la siguiente liga: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http://www.openmolecules.org/datawarrior/download.html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ilustra brevemente el procedimiento para el cálculo de descriptores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druglike.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Abrir el archivo “apps_database_csv_BIOFACQUIM.csv”. Se desplegará una interfaz similar a la ilustrada en la figura 1. 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3767138" cy="20562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056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1. Interfaz interactiva de DataWarrior.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Clic en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“Chemistry”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“From chemical structure” → “Calculate Properties”.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Seleccionamos los descriptores de interés. Clic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“Ok”</w:t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69174" cy="1500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9174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43063" cy="149369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493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Nota: se generan columnas con los descriptores asociadas a cada molécula. 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Visualización de espacio químico.</w:t>
      </w:r>
    </w:p>
    <w:p w:rsidR="00000000" w:rsidDel="00000000" w:rsidP="00000000" w:rsidRDefault="00000000" w:rsidRPr="00000000" w14:paraId="00000015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Nota: Las diversas maneras de representación del espacio químico se discutirán a detalle durante las próximas secciones del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workshop.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Aquí se ilustra una de ellas (Análisis de Componentes Principales - PCA). </w:t>
      </w:r>
    </w:p>
    <w:p w:rsidR="00000000" w:rsidDel="00000000" w:rsidP="00000000" w:rsidRDefault="00000000" w:rsidRPr="00000000" w14:paraId="00000017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Utilice el siguiente comando: </w:t>
      </w: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Data → Calculate Principal components …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Nota: Se mostrará la varianza asociada a cada componente principal calculado. Clic “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Ok”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90863" cy="288035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88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mayor información consultar la siguiente referencia:</w:t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https://doi.org/10.1080/17460441.2019.1581170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preguntas o comentario escribir:</w:t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edgar.lopez.593@hotmail.com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2"/>
      <w:keepNext w:val="0"/>
      <w:keepLines w:val="0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after="80" w:before="0" w:line="335.99999999999994" w:lineRule="auto"/>
      <w:jc w:val="center"/>
      <w:rPr/>
    </w:pPr>
    <w:bookmarkStart w:colFirst="0" w:colLast="0" w:name="_3dsen9h8xnd6" w:id="2"/>
    <w:bookmarkEnd w:id="2"/>
    <w:r w:rsidDel="00000000" w:rsidR="00000000" w:rsidRPr="00000000">
      <w:rPr>
        <w:color w:val="e9b400"/>
        <w:sz w:val="28"/>
        <w:szCs w:val="28"/>
        <w:rtl w:val="0"/>
      </w:rPr>
      <w:t xml:space="preserve">CABANA Workshop: Chemoinformatics in Drug Discovery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i.org/10.1080/17460441.2019.1581170" TargetMode="External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yperlink" Target="mailto:edgar.lopez.593@hot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www.openmolecules.org/datawarrior/download.htm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