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338D" w:rsidRPr="00F6338D" w:rsidRDefault="00F71193" w:rsidP="00F6338D">
      <w:pPr>
        <w:rPr>
          <w:b/>
          <w:bCs/>
        </w:rPr>
      </w:pPr>
      <w:r>
        <w:rPr>
          <w:b/>
          <w:bCs/>
        </w:rPr>
        <w:t>P</w:t>
      </w:r>
      <w:r w:rsidR="00F6338D" w:rsidRPr="00F6338D">
        <w:rPr>
          <w:b/>
          <w:bCs/>
        </w:rPr>
        <w:t>roject Status Report</w:t>
      </w:r>
    </w:p>
    <w:p w:rsidR="00F6338D" w:rsidRPr="00F6338D" w:rsidRDefault="00F6338D" w:rsidP="00F6338D">
      <w:pPr>
        <w:rPr>
          <w:b/>
          <w:bCs/>
        </w:rPr>
      </w:pPr>
      <w:r w:rsidRPr="00F6338D">
        <w:rPr>
          <w:b/>
          <w:bCs/>
        </w:rPr>
        <w:t>Project:</w:t>
      </w:r>
      <w:r w:rsidRPr="00F6338D">
        <w:t xml:space="preserve"> Telco Cloud Migration</w:t>
      </w:r>
      <w:r w:rsidRPr="00F6338D">
        <w:br/>
      </w:r>
      <w:r w:rsidRPr="00F6338D">
        <w:rPr>
          <w:b/>
          <w:bCs/>
        </w:rPr>
        <w:t>Report Date:</w:t>
      </w:r>
      <w:r w:rsidRPr="00F6338D">
        <w:t xml:space="preserve"> </w:t>
      </w:r>
      <w:r w:rsidR="00F71193">
        <w:t xml:space="preserve">May </w:t>
      </w:r>
      <w:r w:rsidRPr="00F6338D">
        <w:t>2025</w:t>
      </w:r>
      <w:r w:rsidRPr="00F6338D">
        <w:br/>
      </w:r>
      <w:r w:rsidRPr="00F6338D">
        <w:rPr>
          <w:b/>
          <w:bCs/>
        </w:rPr>
        <w:t>Reporting Period:</w:t>
      </w:r>
      <w:r w:rsidRPr="00F6338D">
        <w:t xml:space="preserve"> </w:t>
      </w:r>
      <w:r w:rsidR="00F71193">
        <w:t>May</w:t>
      </w:r>
      <w:r w:rsidRPr="00F6338D">
        <w:t xml:space="preserve"> 1, 2025 – </w:t>
      </w:r>
      <w:r w:rsidR="00F71193">
        <w:t>May</w:t>
      </w:r>
      <w:r w:rsidRPr="00F6338D">
        <w:t xml:space="preserve"> 21, 2025</w:t>
      </w:r>
      <w:r w:rsidRPr="00F6338D">
        <w:br/>
      </w:r>
      <w:r w:rsidRPr="00F6338D">
        <w:rPr>
          <w:b/>
          <w:bCs/>
        </w:rPr>
        <w:t>1. Executive Summary</w:t>
      </w:r>
    </w:p>
    <w:p w:rsidR="00F6338D" w:rsidRPr="00F6338D" w:rsidRDefault="00F6338D" w:rsidP="00F6338D">
      <w:r w:rsidRPr="00F6338D">
        <w:t>The Telco Cloud Migration Project is progressing well. The initiation and planning phases are complete, and the cloud architecture design has been approved. Migration preparation is underway with inventory and classification of applications near completion. No major issues have been encountered. The project remains on schedule and within budget.</w:t>
      </w:r>
    </w:p>
    <w:p w:rsidR="00F6338D" w:rsidRPr="00F6338D" w:rsidRDefault="00F6338D" w:rsidP="00F6338D">
      <w:pPr>
        <w:rPr>
          <w:b/>
          <w:bCs/>
        </w:rPr>
      </w:pPr>
      <w:r w:rsidRPr="00F6338D">
        <w:rPr>
          <w:b/>
          <w:bCs/>
        </w:rPr>
        <w:t>2. Project Milestones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1728"/>
        <w:gridCol w:w="1178"/>
        <w:gridCol w:w="1129"/>
        <w:gridCol w:w="3252"/>
      </w:tblGrid>
      <w:tr w:rsidR="00F6338D" w:rsidRPr="00F6338D" w:rsidTr="00F6338D">
        <w:trPr>
          <w:tblHeader/>
          <w:tblCellSpacing w:w="15" w:type="dxa"/>
        </w:trPr>
        <w:tc>
          <w:tcPr>
            <w:tcW w:w="0" w:type="auto"/>
            <w:vAlign w:val="center"/>
            <w:hideMark/>
          </w:tcPr>
          <w:p w:rsidR="00F6338D" w:rsidRPr="00F6338D" w:rsidRDefault="00F6338D" w:rsidP="00F6338D">
            <w:pPr>
              <w:rPr>
                <w:b/>
                <w:bCs/>
              </w:rPr>
            </w:pPr>
            <w:r w:rsidRPr="00F6338D">
              <w:rPr>
                <w:b/>
                <w:bCs/>
              </w:rPr>
              <w:t>Milestone</w:t>
            </w:r>
          </w:p>
        </w:tc>
        <w:tc>
          <w:tcPr>
            <w:tcW w:w="0" w:type="auto"/>
            <w:vAlign w:val="center"/>
            <w:hideMark/>
          </w:tcPr>
          <w:p w:rsidR="00F6338D" w:rsidRPr="00F6338D" w:rsidRDefault="00F6338D" w:rsidP="00F6338D">
            <w:pPr>
              <w:rPr>
                <w:b/>
                <w:bCs/>
              </w:rPr>
            </w:pPr>
            <w:r w:rsidRPr="00F6338D">
              <w:rPr>
                <w:b/>
                <w:bCs/>
              </w:rPr>
              <w:t>Planned Date</w:t>
            </w:r>
          </w:p>
        </w:tc>
        <w:tc>
          <w:tcPr>
            <w:tcW w:w="0" w:type="auto"/>
            <w:vAlign w:val="center"/>
            <w:hideMark/>
          </w:tcPr>
          <w:p w:rsidR="00F6338D" w:rsidRPr="00F6338D" w:rsidRDefault="00F6338D" w:rsidP="00F6338D">
            <w:pPr>
              <w:rPr>
                <w:b/>
                <w:bCs/>
              </w:rPr>
            </w:pPr>
            <w:r w:rsidRPr="00F6338D">
              <w:rPr>
                <w:b/>
                <w:bCs/>
              </w:rPr>
              <w:t>Actual Date</w:t>
            </w:r>
          </w:p>
        </w:tc>
        <w:tc>
          <w:tcPr>
            <w:tcW w:w="0" w:type="auto"/>
            <w:vAlign w:val="center"/>
            <w:hideMark/>
          </w:tcPr>
          <w:p w:rsidR="00F6338D" w:rsidRPr="00F6338D" w:rsidRDefault="00F6338D" w:rsidP="00F6338D">
            <w:pPr>
              <w:rPr>
                <w:b/>
                <w:bCs/>
              </w:rPr>
            </w:pPr>
            <w:r w:rsidRPr="00F6338D">
              <w:rPr>
                <w:b/>
                <w:bCs/>
              </w:rPr>
              <w:t>Status</w:t>
            </w:r>
          </w:p>
        </w:tc>
        <w:tc>
          <w:tcPr>
            <w:tcW w:w="0" w:type="auto"/>
            <w:vAlign w:val="center"/>
            <w:hideMark/>
          </w:tcPr>
          <w:p w:rsidR="00F6338D" w:rsidRPr="00F6338D" w:rsidRDefault="00F6338D" w:rsidP="00F6338D">
            <w:pPr>
              <w:rPr>
                <w:b/>
                <w:bCs/>
              </w:rPr>
            </w:pPr>
            <w:r w:rsidRPr="00F6338D">
              <w:rPr>
                <w:b/>
                <w:bCs/>
              </w:rPr>
              <w:t>Comments</w:t>
            </w:r>
          </w:p>
        </w:tc>
      </w:tr>
      <w:tr w:rsidR="00F6338D" w:rsidRPr="00F6338D" w:rsidTr="00F6338D">
        <w:trPr>
          <w:tblCellSpacing w:w="15" w:type="dxa"/>
        </w:trPr>
        <w:tc>
          <w:tcPr>
            <w:tcW w:w="0" w:type="auto"/>
            <w:vAlign w:val="center"/>
            <w:hideMark/>
          </w:tcPr>
          <w:p w:rsidR="00F6338D" w:rsidRPr="00F6338D" w:rsidRDefault="00F6338D" w:rsidP="00F6338D">
            <w:r w:rsidRPr="00F6338D">
              <w:t>Project Kickoff</w:t>
            </w:r>
          </w:p>
        </w:tc>
        <w:tc>
          <w:tcPr>
            <w:tcW w:w="0" w:type="auto"/>
            <w:vAlign w:val="center"/>
            <w:hideMark/>
          </w:tcPr>
          <w:p w:rsidR="00F6338D" w:rsidRPr="00F6338D" w:rsidRDefault="00F6338D" w:rsidP="00F6338D">
            <w:r w:rsidRPr="00F6338D">
              <w:t>June 1, 2025</w:t>
            </w:r>
          </w:p>
        </w:tc>
        <w:tc>
          <w:tcPr>
            <w:tcW w:w="0" w:type="auto"/>
            <w:vAlign w:val="center"/>
            <w:hideMark/>
          </w:tcPr>
          <w:p w:rsidR="00F6338D" w:rsidRPr="00F6338D" w:rsidRDefault="00F6338D" w:rsidP="00F6338D">
            <w:r w:rsidRPr="00F6338D">
              <w:t>June 1, 2025</w:t>
            </w:r>
          </w:p>
        </w:tc>
        <w:tc>
          <w:tcPr>
            <w:tcW w:w="0" w:type="auto"/>
            <w:vAlign w:val="center"/>
            <w:hideMark/>
          </w:tcPr>
          <w:p w:rsidR="00F6338D" w:rsidRPr="00F6338D" w:rsidRDefault="00F6338D" w:rsidP="00F6338D">
            <w:r w:rsidRPr="00F6338D">
              <w:t>Completed</w:t>
            </w:r>
          </w:p>
        </w:tc>
        <w:tc>
          <w:tcPr>
            <w:tcW w:w="0" w:type="auto"/>
            <w:vAlign w:val="center"/>
            <w:hideMark/>
          </w:tcPr>
          <w:p w:rsidR="00F6338D" w:rsidRPr="00F6338D" w:rsidRDefault="00F6338D" w:rsidP="00F6338D">
            <w:r w:rsidRPr="00F6338D">
              <w:t>Kickoff meeting held with all stakeholders</w:t>
            </w:r>
          </w:p>
        </w:tc>
      </w:tr>
      <w:tr w:rsidR="00F6338D" w:rsidRPr="00F6338D" w:rsidTr="00F6338D">
        <w:trPr>
          <w:tblCellSpacing w:w="15" w:type="dxa"/>
        </w:trPr>
        <w:tc>
          <w:tcPr>
            <w:tcW w:w="0" w:type="auto"/>
            <w:vAlign w:val="center"/>
            <w:hideMark/>
          </w:tcPr>
          <w:p w:rsidR="00F6338D" w:rsidRPr="00F6338D" w:rsidRDefault="00F6338D" w:rsidP="00F6338D">
            <w:r w:rsidRPr="00F6338D">
              <w:t>Project Charter Approval</w:t>
            </w:r>
          </w:p>
        </w:tc>
        <w:tc>
          <w:tcPr>
            <w:tcW w:w="0" w:type="auto"/>
            <w:vAlign w:val="center"/>
            <w:hideMark/>
          </w:tcPr>
          <w:p w:rsidR="00F6338D" w:rsidRPr="00F6338D" w:rsidRDefault="00F6338D" w:rsidP="00F6338D">
            <w:r w:rsidRPr="00F6338D">
              <w:t>June 5, 2025</w:t>
            </w:r>
          </w:p>
        </w:tc>
        <w:tc>
          <w:tcPr>
            <w:tcW w:w="0" w:type="auto"/>
            <w:vAlign w:val="center"/>
            <w:hideMark/>
          </w:tcPr>
          <w:p w:rsidR="00F6338D" w:rsidRPr="00F6338D" w:rsidRDefault="00F6338D" w:rsidP="00F6338D">
            <w:r w:rsidRPr="00F6338D">
              <w:t>June 6, 2025</w:t>
            </w:r>
          </w:p>
        </w:tc>
        <w:tc>
          <w:tcPr>
            <w:tcW w:w="0" w:type="auto"/>
            <w:vAlign w:val="center"/>
            <w:hideMark/>
          </w:tcPr>
          <w:p w:rsidR="00F6338D" w:rsidRPr="00F6338D" w:rsidRDefault="00F6338D" w:rsidP="00F6338D">
            <w:r w:rsidRPr="00F6338D">
              <w:t>Completed</w:t>
            </w:r>
          </w:p>
        </w:tc>
        <w:tc>
          <w:tcPr>
            <w:tcW w:w="0" w:type="auto"/>
            <w:vAlign w:val="center"/>
            <w:hideMark/>
          </w:tcPr>
          <w:p w:rsidR="00F6338D" w:rsidRPr="00F6338D" w:rsidRDefault="00F6338D" w:rsidP="00F6338D">
            <w:r w:rsidRPr="00F6338D">
              <w:t>Slight delay due to stakeholder feedback</w:t>
            </w:r>
          </w:p>
        </w:tc>
      </w:tr>
      <w:tr w:rsidR="00F6338D" w:rsidRPr="00F6338D" w:rsidTr="00F6338D">
        <w:trPr>
          <w:tblCellSpacing w:w="15" w:type="dxa"/>
        </w:trPr>
        <w:tc>
          <w:tcPr>
            <w:tcW w:w="0" w:type="auto"/>
            <w:vAlign w:val="center"/>
            <w:hideMark/>
          </w:tcPr>
          <w:p w:rsidR="00F6338D" w:rsidRPr="00F6338D" w:rsidRDefault="00F6338D" w:rsidP="00F6338D">
            <w:r w:rsidRPr="00F6338D">
              <w:t>Architecture Design</w:t>
            </w:r>
          </w:p>
        </w:tc>
        <w:tc>
          <w:tcPr>
            <w:tcW w:w="0" w:type="auto"/>
            <w:vAlign w:val="center"/>
            <w:hideMark/>
          </w:tcPr>
          <w:p w:rsidR="00F6338D" w:rsidRPr="00F6338D" w:rsidRDefault="00F6338D" w:rsidP="00F6338D">
            <w:r w:rsidRPr="00F6338D">
              <w:t>July 10, 2025</w:t>
            </w:r>
          </w:p>
        </w:tc>
        <w:tc>
          <w:tcPr>
            <w:tcW w:w="0" w:type="auto"/>
            <w:vAlign w:val="center"/>
            <w:hideMark/>
          </w:tcPr>
          <w:p w:rsidR="00F6338D" w:rsidRPr="00F6338D" w:rsidRDefault="00F6338D" w:rsidP="00F6338D">
            <w:r w:rsidRPr="00F6338D">
              <w:t>July 12, 2025</w:t>
            </w:r>
          </w:p>
        </w:tc>
        <w:tc>
          <w:tcPr>
            <w:tcW w:w="0" w:type="auto"/>
            <w:vAlign w:val="center"/>
            <w:hideMark/>
          </w:tcPr>
          <w:p w:rsidR="00F6338D" w:rsidRPr="00F6338D" w:rsidRDefault="00F6338D" w:rsidP="00F6338D">
            <w:r w:rsidRPr="00F6338D">
              <w:t>Completed</w:t>
            </w:r>
          </w:p>
        </w:tc>
        <w:tc>
          <w:tcPr>
            <w:tcW w:w="0" w:type="auto"/>
            <w:vAlign w:val="center"/>
            <w:hideMark/>
          </w:tcPr>
          <w:p w:rsidR="00F6338D" w:rsidRPr="00F6338D" w:rsidRDefault="00F6338D" w:rsidP="00F6338D">
            <w:r w:rsidRPr="00F6338D">
              <w:t>Design approved after minor revisions</w:t>
            </w:r>
          </w:p>
        </w:tc>
      </w:tr>
      <w:tr w:rsidR="00F6338D" w:rsidRPr="00F6338D" w:rsidTr="00F6338D">
        <w:trPr>
          <w:tblCellSpacing w:w="15" w:type="dxa"/>
        </w:trPr>
        <w:tc>
          <w:tcPr>
            <w:tcW w:w="0" w:type="auto"/>
            <w:vAlign w:val="center"/>
            <w:hideMark/>
          </w:tcPr>
          <w:p w:rsidR="00F6338D" w:rsidRPr="00F6338D" w:rsidRDefault="00F6338D" w:rsidP="00F6338D">
            <w:r w:rsidRPr="00F6338D">
              <w:t>Migration Preparation</w:t>
            </w:r>
          </w:p>
        </w:tc>
        <w:tc>
          <w:tcPr>
            <w:tcW w:w="0" w:type="auto"/>
            <w:vAlign w:val="center"/>
            <w:hideMark/>
          </w:tcPr>
          <w:p w:rsidR="00F6338D" w:rsidRPr="00F6338D" w:rsidRDefault="00F6338D" w:rsidP="00F6338D">
            <w:r w:rsidRPr="00F6338D">
              <w:t>July 21, 2025</w:t>
            </w:r>
          </w:p>
        </w:tc>
        <w:tc>
          <w:tcPr>
            <w:tcW w:w="0" w:type="auto"/>
            <w:vAlign w:val="center"/>
            <w:hideMark/>
          </w:tcPr>
          <w:p w:rsidR="00F6338D" w:rsidRPr="00F6338D" w:rsidRDefault="00F6338D" w:rsidP="00F6338D">
            <w:r w:rsidRPr="00F6338D">
              <w:t>In Progress</w:t>
            </w:r>
          </w:p>
        </w:tc>
        <w:tc>
          <w:tcPr>
            <w:tcW w:w="0" w:type="auto"/>
            <w:vAlign w:val="center"/>
            <w:hideMark/>
          </w:tcPr>
          <w:p w:rsidR="00F6338D" w:rsidRPr="00F6338D" w:rsidRDefault="00F6338D" w:rsidP="00F6338D">
            <w:r w:rsidRPr="00F6338D">
              <w:t>On Track</w:t>
            </w:r>
          </w:p>
        </w:tc>
        <w:tc>
          <w:tcPr>
            <w:tcW w:w="0" w:type="auto"/>
            <w:vAlign w:val="center"/>
            <w:hideMark/>
          </w:tcPr>
          <w:p w:rsidR="00F6338D" w:rsidRPr="00F6338D" w:rsidRDefault="00F6338D" w:rsidP="00F6338D">
            <w:r w:rsidRPr="00F6338D">
              <w:t>Inventory 90% complete</w:t>
            </w:r>
          </w:p>
        </w:tc>
      </w:tr>
      <w:tr w:rsidR="00F6338D" w:rsidRPr="00F6338D" w:rsidTr="00F6338D">
        <w:trPr>
          <w:tblCellSpacing w:w="15" w:type="dxa"/>
        </w:trPr>
        <w:tc>
          <w:tcPr>
            <w:tcW w:w="0" w:type="auto"/>
            <w:vAlign w:val="center"/>
            <w:hideMark/>
          </w:tcPr>
          <w:p w:rsidR="00F6338D" w:rsidRPr="00F6338D" w:rsidRDefault="00F6338D" w:rsidP="00F6338D">
            <w:r w:rsidRPr="00F6338D">
              <w:t>Migration Execution</w:t>
            </w:r>
          </w:p>
        </w:tc>
        <w:tc>
          <w:tcPr>
            <w:tcW w:w="0" w:type="auto"/>
            <w:vAlign w:val="center"/>
            <w:hideMark/>
          </w:tcPr>
          <w:p w:rsidR="00F6338D" w:rsidRPr="00F6338D" w:rsidRDefault="00F6338D" w:rsidP="00F6338D">
            <w:r w:rsidRPr="00F6338D">
              <w:t>August 1, 2025</w:t>
            </w:r>
          </w:p>
        </w:tc>
        <w:tc>
          <w:tcPr>
            <w:tcW w:w="0" w:type="auto"/>
            <w:vAlign w:val="center"/>
            <w:hideMark/>
          </w:tcPr>
          <w:p w:rsidR="00F6338D" w:rsidRPr="00F6338D" w:rsidRDefault="00F6338D" w:rsidP="00F6338D">
            <w:r w:rsidRPr="00F6338D">
              <w:t>Not Started</w:t>
            </w:r>
          </w:p>
        </w:tc>
        <w:tc>
          <w:tcPr>
            <w:tcW w:w="0" w:type="auto"/>
            <w:vAlign w:val="center"/>
            <w:hideMark/>
          </w:tcPr>
          <w:p w:rsidR="00F6338D" w:rsidRPr="00F6338D" w:rsidRDefault="00F6338D" w:rsidP="00F6338D">
            <w:r w:rsidRPr="00F6338D">
              <w:t>Pending</w:t>
            </w:r>
          </w:p>
        </w:tc>
        <w:tc>
          <w:tcPr>
            <w:tcW w:w="0" w:type="auto"/>
            <w:vAlign w:val="center"/>
            <w:hideMark/>
          </w:tcPr>
          <w:p w:rsidR="00F6338D" w:rsidRPr="00F6338D" w:rsidRDefault="00F6338D" w:rsidP="00F6338D">
            <w:r w:rsidRPr="00F6338D">
              <w:t>Scheduled to begin on August 1</w:t>
            </w:r>
          </w:p>
        </w:tc>
      </w:tr>
      <w:tr w:rsidR="00F6338D" w:rsidRPr="00F6338D" w:rsidTr="00F6338D">
        <w:trPr>
          <w:tblCellSpacing w:w="15" w:type="dxa"/>
        </w:trPr>
        <w:tc>
          <w:tcPr>
            <w:tcW w:w="0" w:type="auto"/>
            <w:vAlign w:val="center"/>
            <w:hideMark/>
          </w:tcPr>
          <w:p w:rsidR="00F6338D" w:rsidRPr="00F6338D" w:rsidRDefault="00F6338D" w:rsidP="00F6338D">
            <w:r w:rsidRPr="00F6338D">
              <w:t>User Acceptance Testing</w:t>
            </w:r>
          </w:p>
        </w:tc>
        <w:tc>
          <w:tcPr>
            <w:tcW w:w="0" w:type="auto"/>
            <w:vAlign w:val="center"/>
            <w:hideMark/>
          </w:tcPr>
          <w:p w:rsidR="00F6338D" w:rsidRPr="00F6338D" w:rsidRDefault="00F6338D" w:rsidP="00F6338D">
            <w:r w:rsidRPr="00F6338D">
              <w:t>August 25, 2025</w:t>
            </w:r>
          </w:p>
        </w:tc>
        <w:tc>
          <w:tcPr>
            <w:tcW w:w="0" w:type="auto"/>
            <w:vAlign w:val="center"/>
            <w:hideMark/>
          </w:tcPr>
          <w:p w:rsidR="00F6338D" w:rsidRPr="00F6338D" w:rsidRDefault="00F6338D" w:rsidP="00F6338D">
            <w:r w:rsidRPr="00F6338D">
              <w:t>Not Started</w:t>
            </w:r>
          </w:p>
        </w:tc>
        <w:tc>
          <w:tcPr>
            <w:tcW w:w="0" w:type="auto"/>
            <w:vAlign w:val="center"/>
            <w:hideMark/>
          </w:tcPr>
          <w:p w:rsidR="00F6338D" w:rsidRPr="00F6338D" w:rsidRDefault="00F6338D" w:rsidP="00F6338D">
            <w:r w:rsidRPr="00F6338D">
              <w:t>Pending</w:t>
            </w:r>
          </w:p>
        </w:tc>
        <w:tc>
          <w:tcPr>
            <w:tcW w:w="0" w:type="auto"/>
            <w:vAlign w:val="center"/>
            <w:hideMark/>
          </w:tcPr>
          <w:p w:rsidR="00F6338D" w:rsidRPr="00F6338D" w:rsidRDefault="00F6338D" w:rsidP="00F6338D">
            <w:r w:rsidRPr="00F6338D">
              <w:t>Planned post migration execution</w:t>
            </w:r>
          </w:p>
        </w:tc>
      </w:tr>
      <w:tr w:rsidR="00F6338D" w:rsidRPr="00F6338D" w:rsidTr="00F6338D">
        <w:trPr>
          <w:tblCellSpacing w:w="15" w:type="dxa"/>
        </w:trPr>
        <w:tc>
          <w:tcPr>
            <w:tcW w:w="0" w:type="auto"/>
            <w:vAlign w:val="center"/>
            <w:hideMark/>
          </w:tcPr>
          <w:p w:rsidR="00F6338D" w:rsidRPr="00F6338D" w:rsidRDefault="00F6338D" w:rsidP="00F6338D">
            <w:r w:rsidRPr="00F6338D">
              <w:t>Go-Live</w:t>
            </w:r>
          </w:p>
        </w:tc>
        <w:tc>
          <w:tcPr>
            <w:tcW w:w="0" w:type="auto"/>
            <w:vAlign w:val="center"/>
            <w:hideMark/>
          </w:tcPr>
          <w:p w:rsidR="00F6338D" w:rsidRPr="00F6338D" w:rsidRDefault="00F6338D" w:rsidP="00F6338D">
            <w:r w:rsidRPr="00F6338D">
              <w:t>September 10, 2025</w:t>
            </w:r>
          </w:p>
        </w:tc>
        <w:tc>
          <w:tcPr>
            <w:tcW w:w="0" w:type="auto"/>
            <w:vAlign w:val="center"/>
            <w:hideMark/>
          </w:tcPr>
          <w:p w:rsidR="00F6338D" w:rsidRPr="00F6338D" w:rsidRDefault="00F6338D" w:rsidP="00F6338D">
            <w:r w:rsidRPr="00F6338D">
              <w:t>Not Started</w:t>
            </w:r>
          </w:p>
        </w:tc>
        <w:tc>
          <w:tcPr>
            <w:tcW w:w="0" w:type="auto"/>
            <w:vAlign w:val="center"/>
            <w:hideMark/>
          </w:tcPr>
          <w:p w:rsidR="00F6338D" w:rsidRPr="00F6338D" w:rsidRDefault="00F6338D" w:rsidP="00F6338D">
            <w:r w:rsidRPr="00F6338D">
              <w:t>Pending</w:t>
            </w:r>
          </w:p>
        </w:tc>
        <w:tc>
          <w:tcPr>
            <w:tcW w:w="0" w:type="auto"/>
            <w:vAlign w:val="center"/>
            <w:hideMark/>
          </w:tcPr>
          <w:p w:rsidR="00F6338D" w:rsidRPr="00F6338D" w:rsidRDefault="00F6338D" w:rsidP="00F6338D">
            <w:r w:rsidRPr="00F6338D">
              <w:t>Scheduled after successful UAT</w:t>
            </w:r>
          </w:p>
        </w:tc>
      </w:tr>
      <w:tr w:rsidR="00F6338D" w:rsidRPr="00F6338D" w:rsidTr="00F6338D">
        <w:trPr>
          <w:tblCellSpacing w:w="15" w:type="dxa"/>
        </w:trPr>
        <w:tc>
          <w:tcPr>
            <w:tcW w:w="0" w:type="auto"/>
            <w:vAlign w:val="center"/>
            <w:hideMark/>
          </w:tcPr>
          <w:p w:rsidR="00F6338D" w:rsidRPr="00F6338D" w:rsidRDefault="00F6338D" w:rsidP="00F6338D">
            <w:r w:rsidRPr="00F6338D">
              <w:t>Project Closure</w:t>
            </w:r>
          </w:p>
        </w:tc>
        <w:tc>
          <w:tcPr>
            <w:tcW w:w="0" w:type="auto"/>
            <w:vAlign w:val="center"/>
            <w:hideMark/>
          </w:tcPr>
          <w:p w:rsidR="00F6338D" w:rsidRPr="00F6338D" w:rsidRDefault="00F6338D" w:rsidP="00F6338D">
            <w:r w:rsidRPr="00F6338D">
              <w:t>September 30, 2025</w:t>
            </w:r>
          </w:p>
        </w:tc>
        <w:tc>
          <w:tcPr>
            <w:tcW w:w="0" w:type="auto"/>
            <w:vAlign w:val="center"/>
            <w:hideMark/>
          </w:tcPr>
          <w:p w:rsidR="00F6338D" w:rsidRPr="00F6338D" w:rsidRDefault="00F6338D" w:rsidP="00F6338D">
            <w:r w:rsidRPr="00F6338D">
              <w:t>Not Started</w:t>
            </w:r>
          </w:p>
        </w:tc>
        <w:tc>
          <w:tcPr>
            <w:tcW w:w="0" w:type="auto"/>
            <w:vAlign w:val="center"/>
            <w:hideMark/>
          </w:tcPr>
          <w:p w:rsidR="00F6338D" w:rsidRPr="00F6338D" w:rsidRDefault="00F6338D" w:rsidP="00F6338D">
            <w:r w:rsidRPr="00F6338D">
              <w:t>Pending</w:t>
            </w:r>
          </w:p>
        </w:tc>
        <w:tc>
          <w:tcPr>
            <w:tcW w:w="0" w:type="auto"/>
            <w:vAlign w:val="center"/>
            <w:hideMark/>
          </w:tcPr>
          <w:p w:rsidR="00F6338D" w:rsidRPr="00F6338D" w:rsidRDefault="00F6338D" w:rsidP="00F6338D">
            <w:r w:rsidRPr="00F6338D">
              <w:t>Final documentation and lessons learned</w:t>
            </w:r>
          </w:p>
        </w:tc>
      </w:tr>
    </w:tbl>
    <w:p w:rsidR="00F6338D" w:rsidRPr="00F6338D" w:rsidRDefault="00F6338D" w:rsidP="00F6338D"/>
    <w:p w:rsidR="00F6338D" w:rsidRPr="00F6338D" w:rsidRDefault="00F6338D" w:rsidP="00F6338D">
      <w:pPr>
        <w:rPr>
          <w:b/>
          <w:bCs/>
        </w:rPr>
      </w:pPr>
      <w:r w:rsidRPr="00F6338D">
        <w:rPr>
          <w:b/>
          <w:bCs/>
        </w:rPr>
        <w:t>3. Work Completed This Period</w:t>
      </w:r>
    </w:p>
    <w:p w:rsidR="00F6338D" w:rsidRPr="00F6338D" w:rsidRDefault="00F6338D" w:rsidP="00F6338D">
      <w:pPr>
        <w:numPr>
          <w:ilvl w:val="0"/>
          <w:numId w:val="1"/>
        </w:numPr>
      </w:pPr>
      <w:r w:rsidRPr="00F6338D">
        <w:lastRenderedPageBreak/>
        <w:t>Completed stakeholder identification and engagement strategy</w:t>
      </w:r>
    </w:p>
    <w:p w:rsidR="00F6338D" w:rsidRPr="00F6338D" w:rsidRDefault="00F6338D" w:rsidP="00F6338D">
      <w:pPr>
        <w:numPr>
          <w:ilvl w:val="0"/>
          <w:numId w:val="1"/>
        </w:numPr>
      </w:pPr>
      <w:r w:rsidRPr="00F6338D">
        <w:t>Finalized and approved cloud architecture design</w:t>
      </w:r>
    </w:p>
    <w:p w:rsidR="00F6338D" w:rsidRPr="00F6338D" w:rsidRDefault="00F6338D" w:rsidP="00F6338D">
      <w:pPr>
        <w:numPr>
          <w:ilvl w:val="0"/>
          <w:numId w:val="1"/>
        </w:numPr>
      </w:pPr>
      <w:r w:rsidRPr="00F6338D">
        <w:t>Completed initial inventory and classification of on-premise applications</w:t>
      </w:r>
    </w:p>
    <w:p w:rsidR="00F6338D" w:rsidRPr="00F6338D" w:rsidRDefault="00F6338D" w:rsidP="00F6338D">
      <w:pPr>
        <w:numPr>
          <w:ilvl w:val="0"/>
          <w:numId w:val="1"/>
        </w:numPr>
      </w:pPr>
      <w:r w:rsidRPr="00F6338D">
        <w:t>Set up test and staging cloud environments</w:t>
      </w:r>
    </w:p>
    <w:p w:rsidR="00F6338D" w:rsidRPr="00F6338D" w:rsidRDefault="00F6338D" w:rsidP="00F6338D">
      <w:pPr>
        <w:numPr>
          <w:ilvl w:val="0"/>
          <w:numId w:val="1"/>
        </w:numPr>
      </w:pPr>
      <w:r w:rsidRPr="00F6338D">
        <w:t>Developed migration strategy and risk mitigation plan</w:t>
      </w:r>
    </w:p>
    <w:p w:rsidR="00F6338D" w:rsidRPr="00F6338D" w:rsidRDefault="00F6338D" w:rsidP="00F6338D">
      <w:pPr>
        <w:rPr>
          <w:b/>
          <w:bCs/>
        </w:rPr>
      </w:pPr>
      <w:r w:rsidRPr="00F6338D">
        <w:rPr>
          <w:b/>
          <w:bCs/>
        </w:rPr>
        <w:t>4. Work Planned for Next Period</w:t>
      </w:r>
    </w:p>
    <w:p w:rsidR="00F6338D" w:rsidRPr="00F6338D" w:rsidRDefault="00F6338D" w:rsidP="00F6338D">
      <w:pPr>
        <w:numPr>
          <w:ilvl w:val="0"/>
          <w:numId w:val="2"/>
        </w:numPr>
      </w:pPr>
      <w:r w:rsidRPr="00F6338D">
        <w:t>Complete application inventory and classification</w:t>
      </w:r>
    </w:p>
    <w:p w:rsidR="00F6338D" w:rsidRPr="00F6338D" w:rsidRDefault="00F6338D" w:rsidP="00F6338D">
      <w:pPr>
        <w:numPr>
          <w:ilvl w:val="0"/>
          <w:numId w:val="2"/>
        </w:numPr>
      </w:pPr>
      <w:r w:rsidRPr="00F6338D">
        <w:t>Conduct pilot migration of non-critical workloads</w:t>
      </w:r>
    </w:p>
    <w:p w:rsidR="00F6338D" w:rsidRPr="00F6338D" w:rsidRDefault="00F6338D" w:rsidP="00F6338D">
      <w:pPr>
        <w:numPr>
          <w:ilvl w:val="0"/>
          <w:numId w:val="2"/>
        </w:numPr>
      </w:pPr>
      <w:r w:rsidRPr="00F6338D">
        <w:t>Begin end-user training preparation and scheduling</w:t>
      </w:r>
    </w:p>
    <w:p w:rsidR="00F6338D" w:rsidRPr="00F6338D" w:rsidRDefault="00F6338D" w:rsidP="00F6338D">
      <w:pPr>
        <w:numPr>
          <w:ilvl w:val="0"/>
          <w:numId w:val="2"/>
        </w:numPr>
      </w:pPr>
      <w:r w:rsidRPr="00F6338D">
        <w:t>Finalize detailed migration schedule and resource allocation</w:t>
      </w:r>
    </w:p>
    <w:p w:rsidR="00F6338D" w:rsidRPr="00F6338D" w:rsidRDefault="00F6338D" w:rsidP="00F6338D">
      <w:pPr>
        <w:numPr>
          <w:ilvl w:val="0"/>
          <w:numId w:val="2"/>
        </w:numPr>
      </w:pPr>
      <w:r w:rsidRPr="00F6338D">
        <w:t>Continue risk monitoring and mitigation</w:t>
      </w:r>
    </w:p>
    <w:p w:rsidR="00F6338D" w:rsidRPr="00F6338D" w:rsidRDefault="00F6338D" w:rsidP="00F6338D">
      <w:pPr>
        <w:rPr>
          <w:b/>
          <w:bCs/>
        </w:rPr>
      </w:pPr>
      <w:r w:rsidRPr="00F6338D">
        <w:rPr>
          <w:b/>
          <w:bCs/>
        </w:rPr>
        <w:t>5. Key Issues and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1078"/>
        <w:gridCol w:w="1397"/>
        <w:gridCol w:w="1156"/>
        <w:gridCol w:w="3337"/>
      </w:tblGrid>
      <w:tr w:rsidR="00F6338D" w:rsidRPr="00F6338D" w:rsidTr="00F6338D">
        <w:trPr>
          <w:tblHeader/>
          <w:tblCellSpacing w:w="15" w:type="dxa"/>
        </w:trPr>
        <w:tc>
          <w:tcPr>
            <w:tcW w:w="0" w:type="auto"/>
            <w:vAlign w:val="center"/>
            <w:hideMark/>
          </w:tcPr>
          <w:p w:rsidR="00F6338D" w:rsidRPr="00F6338D" w:rsidRDefault="00F6338D" w:rsidP="00F6338D">
            <w:pPr>
              <w:rPr>
                <w:b/>
                <w:bCs/>
              </w:rPr>
            </w:pPr>
            <w:r w:rsidRPr="00F6338D">
              <w:rPr>
                <w:b/>
                <w:bCs/>
              </w:rPr>
              <w:t>Issue / Risk</w:t>
            </w:r>
          </w:p>
        </w:tc>
        <w:tc>
          <w:tcPr>
            <w:tcW w:w="0" w:type="auto"/>
            <w:vAlign w:val="center"/>
            <w:hideMark/>
          </w:tcPr>
          <w:p w:rsidR="00F6338D" w:rsidRPr="00F6338D" w:rsidRDefault="00F6338D" w:rsidP="00F6338D">
            <w:pPr>
              <w:rPr>
                <w:b/>
                <w:bCs/>
              </w:rPr>
            </w:pPr>
            <w:r w:rsidRPr="00F6338D">
              <w:rPr>
                <w:b/>
                <w:bCs/>
              </w:rPr>
              <w:t>Impact Level</w:t>
            </w:r>
          </w:p>
        </w:tc>
        <w:tc>
          <w:tcPr>
            <w:tcW w:w="0" w:type="auto"/>
            <w:vAlign w:val="center"/>
            <w:hideMark/>
          </w:tcPr>
          <w:p w:rsidR="00F6338D" w:rsidRPr="00F6338D" w:rsidRDefault="00F6338D" w:rsidP="00F6338D">
            <w:pPr>
              <w:rPr>
                <w:b/>
                <w:bCs/>
              </w:rPr>
            </w:pPr>
            <w:r w:rsidRPr="00F6338D">
              <w:rPr>
                <w:b/>
                <w:bCs/>
              </w:rPr>
              <w:t>Owner</w:t>
            </w:r>
          </w:p>
        </w:tc>
        <w:tc>
          <w:tcPr>
            <w:tcW w:w="0" w:type="auto"/>
            <w:vAlign w:val="center"/>
            <w:hideMark/>
          </w:tcPr>
          <w:p w:rsidR="00F6338D" w:rsidRPr="00F6338D" w:rsidRDefault="00F6338D" w:rsidP="00F6338D">
            <w:pPr>
              <w:rPr>
                <w:b/>
                <w:bCs/>
              </w:rPr>
            </w:pPr>
            <w:r w:rsidRPr="00F6338D">
              <w:rPr>
                <w:b/>
                <w:bCs/>
              </w:rPr>
              <w:t>Status</w:t>
            </w:r>
          </w:p>
        </w:tc>
        <w:tc>
          <w:tcPr>
            <w:tcW w:w="0" w:type="auto"/>
            <w:vAlign w:val="center"/>
            <w:hideMark/>
          </w:tcPr>
          <w:p w:rsidR="00F6338D" w:rsidRPr="00F6338D" w:rsidRDefault="00F6338D" w:rsidP="00F6338D">
            <w:pPr>
              <w:rPr>
                <w:b/>
                <w:bCs/>
              </w:rPr>
            </w:pPr>
            <w:r w:rsidRPr="00F6338D">
              <w:rPr>
                <w:b/>
                <w:bCs/>
              </w:rPr>
              <w:t>Mitigation / Resolution Plan</w:t>
            </w:r>
          </w:p>
        </w:tc>
      </w:tr>
      <w:tr w:rsidR="00F6338D" w:rsidRPr="00F6338D" w:rsidTr="00F6338D">
        <w:trPr>
          <w:tblCellSpacing w:w="15" w:type="dxa"/>
        </w:trPr>
        <w:tc>
          <w:tcPr>
            <w:tcW w:w="0" w:type="auto"/>
            <w:vAlign w:val="center"/>
            <w:hideMark/>
          </w:tcPr>
          <w:p w:rsidR="00F6338D" w:rsidRPr="00F6338D" w:rsidRDefault="00F6338D" w:rsidP="00F6338D">
            <w:r w:rsidRPr="00F6338D">
              <w:t>Delayed access to legacy systems</w:t>
            </w:r>
          </w:p>
        </w:tc>
        <w:tc>
          <w:tcPr>
            <w:tcW w:w="0" w:type="auto"/>
            <w:vAlign w:val="center"/>
            <w:hideMark/>
          </w:tcPr>
          <w:p w:rsidR="00F6338D" w:rsidRPr="00F6338D" w:rsidRDefault="00F6338D" w:rsidP="00F6338D">
            <w:r w:rsidRPr="00F6338D">
              <w:t>Medium</w:t>
            </w:r>
          </w:p>
        </w:tc>
        <w:tc>
          <w:tcPr>
            <w:tcW w:w="0" w:type="auto"/>
            <w:vAlign w:val="center"/>
            <w:hideMark/>
          </w:tcPr>
          <w:p w:rsidR="00F6338D" w:rsidRPr="00F6338D" w:rsidRDefault="00F6338D" w:rsidP="00F6338D">
            <w:r w:rsidRPr="00F6338D">
              <w:t>IT Operations</w:t>
            </w:r>
          </w:p>
        </w:tc>
        <w:tc>
          <w:tcPr>
            <w:tcW w:w="0" w:type="auto"/>
            <w:vAlign w:val="center"/>
            <w:hideMark/>
          </w:tcPr>
          <w:p w:rsidR="00F6338D" w:rsidRPr="00F6338D" w:rsidRDefault="00F6338D" w:rsidP="00F6338D">
            <w:r w:rsidRPr="00F6338D">
              <w:t>Open</w:t>
            </w:r>
          </w:p>
        </w:tc>
        <w:tc>
          <w:tcPr>
            <w:tcW w:w="0" w:type="auto"/>
            <w:vAlign w:val="center"/>
            <w:hideMark/>
          </w:tcPr>
          <w:p w:rsidR="00F6338D" w:rsidRPr="00F6338D" w:rsidRDefault="00F6338D" w:rsidP="00F6338D">
            <w:r w:rsidRPr="00F6338D">
              <w:t>Escalate with infrastructure team, adjust schedule</w:t>
            </w:r>
          </w:p>
        </w:tc>
      </w:tr>
      <w:tr w:rsidR="00F6338D" w:rsidRPr="00F6338D" w:rsidTr="00F6338D">
        <w:trPr>
          <w:tblCellSpacing w:w="15" w:type="dxa"/>
        </w:trPr>
        <w:tc>
          <w:tcPr>
            <w:tcW w:w="0" w:type="auto"/>
            <w:vAlign w:val="center"/>
            <w:hideMark/>
          </w:tcPr>
          <w:p w:rsidR="00F6338D" w:rsidRPr="00F6338D" w:rsidRDefault="00F6338D" w:rsidP="00F6338D">
            <w:r w:rsidRPr="00F6338D">
              <w:t>Potential resistance from business users</w:t>
            </w:r>
          </w:p>
        </w:tc>
        <w:tc>
          <w:tcPr>
            <w:tcW w:w="0" w:type="auto"/>
            <w:vAlign w:val="center"/>
            <w:hideMark/>
          </w:tcPr>
          <w:p w:rsidR="00F6338D" w:rsidRPr="00F6338D" w:rsidRDefault="00F6338D" w:rsidP="00F6338D">
            <w:r w:rsidRPr="00F6338D">
              <w:t>Medium</w:t>
            </w:r>
          </w:p>
        </w:tc>
        <w:tc>
          <w:tcPr>
            <w:tcW w:w="0" w:type="auto"/>
            <w:vAlign w:val="center"/>
            <w:hideMark/>
          </w:tcPr>
          <w:p w:rsidR="00F6338D" w:rsidRPr="00F6338D" w:rsidRDefault="00F6338D" w:rsidP="00F6338D">
            <w:r w:rsidRPr="00F6338D">
              <w:t>Change Manager</w:t>
            </w:r>
          </w:p>
        </w:tc>
        <w:tc>
          <w:tcPr>
            <w:tcW w:w="0" w:type="auto"/>
            <w:vAlign w:val="center"/>
            <w:hideMark/>
          </w:tcPr>
          <w:p w:rsidR="00F6338D" w:rsidRPr="00F6338D" w:rsidRDefault="00F6338D" w:rsidP="00F6338D">
            <w:r w:rsidRPr="00F6338D">
              <w:t>Monitoring</w:t>
            </w:r>
          </w:p>
        </w:tc>
        <w:tc>
          <w:tcPr>
            <w:tcW w:w="0" w:type="auto"/>
            <w:vAlign w:val="center"/>
            <w:hideMark/>
          </w:tcPr>
          <w:p w:rsidR="00F6338D" w:rsidRPr="00F6338D" w:rsidRDefault="00F6338D" w:rsidP="00F6338D">
            <w:r w:rsidRPr="00F6338D">
              <w:t>Engage users through workshops and communications</w:t>
            </w:r>
          </w:p>
        </w:tc>
      </w:tr>
      <w:tr w:rsidR="00F6338D" w:rsidRPr="00F6338D" w:rsidTr="00F6338D">
        <w:trPr>
          <w:tblCellSpacing w:w="15" w:type="dxa"/>
        </w:trPr>
        <w:tc>
          <w:tcPr>
            <w:tcW w:w="0" w:type="auto"/>
            <w:vAlign w:val="center"/>
            <w:hideMark/>
          </w:tcPr>
          <w:p w:rsidR="00F6338D" w:rsidRPr="00F6338D" w:rsidRDefault="00F6338D" w:rsidP="00F6338D">
            <w:r w:rsidRPr="00F6338D">
              <w:t>Data security during migration</w:t>
            </w:r>
          </w:p>
        </w:tc>
        <w:tc>
          <w:tcPr>
            <w:tcW w:w="0" w:type="auto"/>
            <w:vAlign w:val="center"/>
            <w:hideMark/>
          </w:tcPr>
          <w:p w:rsidR="00F6338D" w:rsidRPr="00F6338D" w:rsidRDefault="00F6338D" w:rsidP="00F6338D">
            <w:r w:rsidRPr="00F6338D">
              <w:t>High</w:t>
            </w:r>
          </w:p>
        </w:tc>
        <w:tc>
          <w:tcPr>
            <w:tcW w:w="0" w:type="auto"/>
            <w:vAlign w:val="center"/>
            <w:hideMark/>
          </w:tcPr>
          <w:p w:rsidR="00F6338D" w:rsidRPr="00F6338D" w:rsidRDefault="00F6338D" w:rsidP="00F6338D">
            <w:r w:rsidRPr="00F6338D">
              <w:t>Security Lead</w:t>
            </w:r>
          </w:p>
        </w:tc>
        <w:tc>
          <w:tcPr>
            <w:tcW w:w="0" w:type="auto"/>
            <w:vAlign w:val="center"/>
            <w:hideMark/>
          </w:tcPr>
          <w:p w:rsidR="00F6338D" w:rsidRPr="00F6338D" w:rsidRDefault="00F6338D" w:rsidP="00F6338D">
            <w:r w:rsidRPr="00F6338D">
              <w:t>In Progress</w:t>
            </w:r>
          </w:p>
        </w:tc>
        <w:tc>
          <w:tcPr>
            <w:tcW w:w="0" w:type="auto"/>
            <w:vAlign w:val="center"/>
            <w:hideMark/>
          </w:tcPr>
          <w:p w:rsidR="00F6338D" w:rsidRPr="00F6338D" w:rsidRDefault="00F6338D" w:rsidP="00F6338D">
            <w:r w:rsidRPr="00F6338D">
              <w:t>Strict adherence to encryption and access controls</w:t>
            </w:r>
          </w:p>
        </w:tc>
      </w:tr>
      <w:tr w:rsidR="00F6338D" w:rsidRPr="00F6338D" w:rsidTr="00F6338D">
        <w:trPr>
          <w:tblCellSpacing w:w="15" w:type="dxa"/>
        </w:trPr>
        <w:tc>
          <w:tcPr>
            <w:tcW w:w="0" w:type="auto"/>
            <w:vAlign w:val="center"/>
            <w:hideMark/>
          </w:tcPr>
          <w:p w:rsidR="00F6338D" w:rsidRPr="00F6338D" w:rsidRDefault="00F6338D" w:rsidP="00F6338D">
            <w:r w:rsidRPr="00F6338D">
              <w:t>Resource availability for migration</w:t>
            </w:r>
          </w:p>
        </w:tc>
        <w:tc>
          <w:tcPr>
            <w:tcW w:w="0" w:type="auto"/>
            <w:vAlign w:val="center"/>
            <w:hideMark/>
          </w:tcPr>
          <w:p w:rsidR="00F6338D" w:rsidRPr="00F6338D" w:rsidRDefault="00F6338D" w:rsidP="00F6338D">
            <w:r w:rsidRPr="00F6338D">
              <w:t>Low</w:t>
            </w:r>
          </w:p>
        </w:tc>
        <w:tc>
          <w:tcPr>
            <w:tcW w:w="0" w:type="auto"/>
            <w:vAlign w:val="center"/>
            <w:hideMark/>
          </w:tcPr>
          <w:p w:rsidR="00F6338D" w:rsidRPr="00F6338D" w:rsidRDefault="00F6338D" w:rsidP="00F6338D">
            <w:r w:rsidRPr="00F6338D">
              <w:t>Project Manager</w:t>
            </w:r>
          </w:p>
        </w:tc>
        <w:tc>
          <w:tcPr>
            <w:tcW w:w="0" w:type="auto"/>
            <w:vAlign w:val="center"/>
            <w:hideMark/>
          </w:tcPr>
          <w:p w:rsidR="00F6338D" w:rsidRPr="00F6338D" w:rsidRDefault="00F6338D" w:rsidP="00F6338D">
            <w:r w:rsidRPr="00F6338D">
              <w:t>Open</w:t>
            </w:r>
          </w:p>
        </w:tc>
        <w:tc>
          <w:tcPr>
            <w:tcW w:w="0" w:type="auto"/>
            <w:vAlign w:val="center"/>
            <w:hideMark/>
          </w:tcPr>
          <w:p w:rsidR="00F6338D" w:rsidRPr="00F6338D" w:rsidRDefault="00F6338D" w:rsidP="00F6338D">
            <w:r w:rsidRPr="00F6338D">
              <w:t>Reallocate internal resources, hire temporary staff</w:t>
            </w:r>
          </w:p>
        </w:tc>
      </w:tr>
    </w:tbl>
    <w:p w:rsidR="00F6338D" w:rsidRPr="00F6338D" w:rsidRDefault="00F6338D" w:rsidP="00F6338D">
      <w:pPr>
        <w:rPr>
          <w:b/>
          <w:bCs/>
        </w:rPr>
      </w:pPr>
      <w:r w:rsidRPr="00F6338D">
        <w:rPr>
          <w:b/>
          <w:bCs/>
        </w:rPr>
        <w:t>6. Budget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1724"/>
        <w:gridCol w:w="1287"/>
        <w:gridCol w:w="1030"/>
        <w:gridCol w:w="3441"/>
      </w:tblGrid>
      <w:tr w:rsidR="00F6338D" w:rsidRPr="00F6338D" w:rsidTr="00F6338D">
        <w:trPr>
          <w:tblHeader/>
          <w:tblCellSpacing w:w="15" w:type="dxa"/>
        </w:trPr>
        <w:tc>
          <w:tcPr>
            <w:tcW w:w="0" w:type="auto"/>
            <w:vAlign w:val="center"/>
            <w:hideMark/>
          </w:tcPr>
          <w:p w:rsidR="00F6338D" w:rsidRPr="00F6338D" w:rsidRDefault="00F6338D" w:rsidP="00F6338D">
            <w:pPr>
              <w:rPr>
                <w:b/>
                <w:bCs/>
              </w:rPr>
            </w:pPr>
            <w:r w:rsidRPr="00F6338D">
              <w:rPr>
                <w:b/>
                <w:bCs/>
              </w:rPr>
              <w:t>Budget Item</w:t>
            </w:r>
          </w:p>
        </w:tc>
        <w:tc>
          <w:tcPr>
            <w:tcW w:w="0" w:type="auto"/>
            <w:vAlign w:val="center"/>
            <w:hideMark/>
          </w:tcPr>
          <w:p w:rsidR="00F6338D" w:rsidRPr="00F6338D" w:rsidRDefault="00F6338D" w:rsidP="00F6338D">
            <w:pPr>
              <w:rPr>
                <w:b/>
                <w:bCs/>
              </w:rPr>
            </w:pPr>
            <w:r w:rsidRPr="00F6338D">
              <w:rPr>
                <w:b/>
                <w:bCs/>
              </w:rPr>
              <w:t>Budgeted Amount</w:t>
            </w:r>
          </w:p>
        </w:tc>
        <w:tc>
          <w:tcPr>
            <w:tcW w:w="0" w:type="auto"/>
            <w:vAlign w:val="center"/>
            <w:hideMark/>
          </w:tcPr>
          <w:p w:rsidR="00F6338D" w:rsidRPr="00F6338D" w:rsidRDefault="00F6338D" w:rsidP="00F6338D">
            <w:pPr>
              <w:rPr>
                <w:b/>
                <w:bCs/>
              </w:rPr>
            </w:pPr>
            <w:r w:rsidRPr="00F6338D">
              <w:rPr>
                <w:b/>
                <w:bCs/>
              </w:rPr>
              <w:t>Actual Spend</w:t>
            </w:r>
          </w:p>
        </w:tc>
        <w:tc>
          <w:tcPr>
            <w:tcW w:w="0" w:type="auto"/>
            <w:vAlign w:val="center"/>
            <w:hideMark/>
          </w:tcPr>
          <w:p w:rsidR="00F6338D" w:rsidRPr="00F6338D" w:rsidRDefault="00F6338D" w:rsidP="00F6338D">
            <w:pPr>
              <w:rPr>
                <w:b/>
                <w:bCs/>
              </w:rPr>
            </w:pPr>
            <w:r w:rsidRPr="00F6338D">
              <w:rPr>
                <w:b/>
                <w:bCs/>
              </w:rPr>
              <w:t>Variance</w:t>
            </w:r>
          </w:p>
        </w:tc>
        <w:tc>
          <w:tcPr>
            <w:tcW w:w="0" w:type="auto"/>
            <w:vAlign w:val="center"/>
            <w:hideMark/>
          </w:tcPr>
          <w:p w:rsidR="00F6338D" w:rsidRPr="00F6338D" w:rsidRDefault="00F6338D" w:rsidP="00F6338D">
            <w:pPr>
              <w:rPr>
                <w:b/>
                <w:bCs/>
              </w:rPr>
            </w:pPr>
            <w:r w:rsidRPr="00F6338D">
              <w:rPr>
                <w:b/>
                <w:bCs/>
              </w:rPr>
              <w:t>Comments</w:t>
            </w:r>
          </w:p>
        </w:tc>
      </w:tr>
      <w:tr w:rsidR="00F6338D" w:rsidRPr="00F6338D" w:rsidTr="00F6338D">
        <w:trPr>
          <w:tblCellSpacing w:w="15" w:type="dxa"/>
        </w:trPr>
        <w:tc>
          <w:tcPr>
            <w:tcW w:w="0" w:type="auto"/>
            <w:vAlign w:val="center"/>
            <w:hideMark/>
          </w:tcPr>
          <w:p w:rsidR="00F6338D" w:rsidRPr="00F6338D" w:rsidRDefault="00F6338D" w:rsidP="00F6338D">
            <w:r w:rsidRPr="00F6338D">
              <w:t>Total Project Budget</w:t>
            </w:r>
          </w:p>
        </w:tc>
        <w:tc>
          <w:tcPr>
            <w:tcW w:w="0" w:type="auto"/>
            <w:vAlign w:val="center"/>
            <w:hideMark/>
          </w:tcPr>
          <w:p w:rsidR="00F6338D" w:rsidRPr="00F6338D" w:rsidRDefault="00F6338D" w:rsidP="00F6338D">
            <w:r w:rsidRPr="00F6338D">
              <w:t>$1,000,000</w:t>
            </w:r>
          </w:p>
        </w:tc>
        <w:tc>
          <w:tcPr>
            <w:tcW w:w="0" w:type="auto"/>
            <w:vAlign w:val="center"/>
            <w:hideMark/>
          </w:tcPr>
          <w:p w:rsidR="00F6338D" w:rsidRPr="00F6338D" w:rsidRDefault="00F6338D" w:rsidP="00F6338D">
            <w:r w:rsidRPr="00F6338D">
              <w:t>$350,000</w:t>
            </w:r>
          </w:p>
        </w:tc>
        <w:tc>
          <w:tcPr>
            <w:tcW w:w="0" w:type="auto"/>
            <w:vAlign w:val="center"/>
            <w:hideMark/>
          </w:tcPr>
          <w:p w:rsidR="00F6338D" w:rsidRPr="00F6338D" w:rsidRDefault="00F6338D" w:rsidP="00F6338D">
            <w:r w:rsidRPr="00F6338D">
              <w:t>-$650,000</w:t>
            </w:r>
          </w:p>
        </w:tc>
        <w:tc>
          <w:tcPr>
            <w:tcW w:w="0" w:type="auto"/>
            <w:vAlign w:val="center"/>
            <w:hideMark/>
          </w:tcPr>
          <w:p w:rsidR="00F6338D" w:rsidRPr="00F6338D" w:rsidRDefault="00F6338D" w:rsidP="00F6338D">
            <w:r w:rsidRPr="00F6338D">
              <w:t>On track; major spends upcoming</w:t>
            </w:r>
          </w:p>
        </w:tc>
      </w:tr>
      <w:tr w:rsidR="00F6338D" w:rsidRPr="00F6338D" w:rsidTr="00F6338D">
        <w:trPr>
          <w:tblCellSpacing w:w="15" w:type="dxa"/>
        </w:trPr>
        <w:tc>
          <w:tcPr>
            <w:tcW w:w="0" w:type="auto"/>
            <w:vAlign w:val="center"/>
            <w:hideMark/>
          </w:tcPr>
          <w:p w:rsidR="00F6338D" w:rsidRPr="00F6338D" w:rsidRDefault="00F6338D" w:rsidP="00F6338D">
            <w:r w:rsidRPr="00F6338D">
              <w:lastRenderedPageBreak/>
              <w:t>Cloud Services</w:t>
            </w:r>
          </w:p>
        </w:tc>
        <w:tc>
          <w:tcPr>
            <w:tcW w:w="0" w:type="auto"/>
            <w:vAlign w:val="center"/>
            <w:hideMark/>
          </w:tcPr>
          <w:p w:rsidR="00F6338D" w:rsidRPr="00F6338D" w:rsidRDefault="00F6338D" w:rsidP="00F6338D">
            <w:r w:rsidRPr="00F6338D">
              <w:t>$600,000</w:t>
            </w:r>
          </w:p>
        </w:tc>
        <w:tc>
          <w:tcPr>
            <w:tcW w:w="0" w:type="auto"/>
            <w:vAlign w:val="center"/>
            <w:hideMark/>
          </w:tcPr>
          <w:p w:rsidR="00F6338D" w:rsidRPr="00F6338D" w:rsidRDefault="00F6338D" w:rsidP="00F6338D">
            <w:r w:rsidRPr="00F6338D">
              <w:t>$200,000</w:t>
            </w:r>
          </w:p>
        </w:tc>
        <w:tc>
          <w:tcPr>
            <w:tcW w:w="0" w:type="auto"/>
            <w:vAlign w:val="center"/>
            <w:hideMark/>
          </w:tcPr>
          <w:p w:rsidR="00F6338D" w:rsidRPr="00F6338D" w:rsidRDefault="00F6338D" w:rsidP="00F6338D">
            <w:r w:rsidRPr="00F6338D">
              <w:t>-$400,000</w:t>
            </w:r>
          </w:p>
        </w:tc>
        <w:tc>
          <w:tcPr>
            <w:tcW w:w="0" w:type="auto"/>
            <w:vAlign w:val="center"/>
            <w:hideMark/>
          </w:tcPr>
          <w:p w:rsidR="00F6338D" w:rsidRPr="00F6338D" w:rsidRDefault="00F6338D" w:rsidP="00F6338D">
            <w:r w:rsidRPr="00F6338D">
              <w:t>Initial provisioning and contracts</w:t>
            </w:r>
          </w:p>
        </w:tc>
      </w:tr>
      <w:tr w:rsidR="00F6338D" w:rsidRPr="00F6338D" w:rsidTr="00F6338D">
        <w:trPr>
          <w:tblCellSpacing w:w="15" w:type="dxa"/>
        </w:trPr>
        <w:tc>
          <w:tcPr>
            <w:tcW w:w="0" w:type="auto"/>
            <w:vAlign w:val="center"/>
            <w:hideMark/>
          </w:tcPr>
          <w:p w:rsidR="00F6338D" w:rsidRPr="00F6338D" w:rsidRDefault="00F6338D" w:rsidP="00F6338D">
            <w:r w:rsidRPr="00F6338D">
              <w:t>Training</w:t>
            </w:r>
          </w:p>
        </w:tc>
        <w:tc>
          <w:tcPr>
            <w:tcW w:w="0" w:type="auto"/>
            <w:vAlign w:val="center"/>
            <w:hideMark/>
          </w:tcPr>
          <w:p w:rsidR="00F6338D" w:rsidRPr="00F6338D" w:rsidRDefault="00F6338D" w:rsidP="00F6338D">
            <w:r w:rsidRPr="00F6338D">
              <w:t>$100,000</w:t>
            </w:r>
          </w:p>
        </w:tc>
        <w:tc>
          <w:tcPr>
            <w:tcW w:w="0" w:type="auto"/>
            <w:vAlign w:val="center"/>
            <w:hideMark/>
          </w:tcPr>
          <w:p w:rsidR="00F6338D" w:rsidRPr="00F6338D" w:rsidRDefault="00F6338D" w:rsidP="00F6338D">
            <w:r w:rsidRPr="00F6338D">
              <w:t>$25,000</w:t>
            </w:r>
          </w:p>
        </w:tc>
        <w:tc>
          <w:tcPr>
            <w:tcW w:w="0" w:type="auto"/>
            <w:vAlign w:val="center"/>
            <w:hideMark/>
          </w:tcPr>
          <w:p w:rsidR="00F6338D" w:rsidRPr="00F6338D" w:rsidRDefault="00F6338D" w:rsidP="00F6338D">
            <w:r w:rsidRPr="00F6338D">
              <w:t>-$75,000</w:t>
            </w:r>
          </w:p>
        </w:tc>
        <w:tc>
          <w:tcPr>
            <w:tcW w:w="0" w:type="auto"/>
            <w:vAlign w:val="center"/>
            <w:hideMark/>
          </w:tcPr>
          <w:p w:rsidR="00F6338D" w:rsidRPr="00F6338D" w:rsidRDefault="00F6338D" w:rsidP="00F6338D">
            <w:r w:rsidRPr="00F6338D">
              <w:t>Training materials development ongoing</w:t>
            </w:r>
          </w:p>
        </w:tc>
      </w:tr>
      <w:tr w:rsidR="00F6338D" w:rsidRPr="00F6338D" w:rsidTr="00F6338D">
        <w:trPr>
          <w:tblCellSpacing w:w="15" w:type="dxa"/>
        </w:trPr>
        <w:tc>
          <w:tcPr>
            <w:tcW w:w="0" w:type="auto"/>
            <w:vAlign w:val="center"/>
            <w:hideMark/>
          </w:tcPr>
          <w:p w:rsidR="00F6338D" w:rsidRPr="00F6338D" w:rsidRDefault="00F6338D" w:rsidP="00F6338D">
            <w:r w:rsidRPr="00F6338D">
              <w:t>Consulting / Support</w:t>
            </w:r>
          </w:p>
        </w:tc>
        <w:tc>
          <w:tcPr>
            <w:tcW w:w="0" w:type="auto"/>
            <w:vAlign w:val="center"/>
            <w:hideMark/>
          </w:tcPr>
          <w:p w:rsidR="00F6338D" w:rsidRPr="00F6338D" w:rsidRDefault="00F6338D" w:rsidP="00F6338D">
            <w:r w:rsidRPr="00F6338D">
              <w:t>$150,000</w:t>
            </w:r>
          </w:p>
        </w:tc>
        <w:tc>
          <w:tcPr>
            <w:tcW w:w="0" w:type="auto"/>
            <w:vAlign w:val="center"/>
            <w:hideMark/>
          </w:tcPr>
          <w:p w:rsidR="00F6338D" w:rsidRPr="00F6338D" w:rsidRDefault="00F6338D" w:rsidP="00F6338D">
            <w:r w:rsidRPr="00F6338D">
              <w:t>$75,000</w:t>
            </w:r>
          </w:p>
        </w:tc>
        <w:tc>
          <w:tcPr>
            <w:tcW w:w="0" w:type="auto"/>
            <w:vAlign w:val="center"/>
            <w:hideMark/>
          </w:tcPr>
          <w:p w:rsidR="00F6338D" w:rsidRPr="00F6338D" w:rsidRDefault="00F6338D" w:rsidP="00F6338D">
            <w:r w:rsidRPr="00F6338D">
              <w:t>-$75,000</w:t>
            </w:r>
          </w:p>
        </w:tc>
        <w:tc>
          <w:tcPr>
            <w:tcW w:w="0" w:type="auto"/>
            <w:vAlign w:val="center"/>
            <w:hideMark/>
          </w:tcPr>
          <w:p w:rsidR="00F6338D" w:rsidRPr="00F6338D" w:rsidRDefault="00F6338D" w:rsidP="00F6338D">
            <w:r w:rsidRPr="00F6338D">
              <w:t>Vendor support contracts signed</w:t>
            </w:r>
          </w:p>
        </w:tc>
      </w:tr>
    </w:tbl>
    <w:p w:rsidR="00F6338D" w:rsidRPr="00F6338D" w:rsidRDefault="00F6338D" w:rsidP="00F6338D">
      <w:pPr>
        <w:rPr>
          <w:b/>
          <w:bCs/>
        </w:rPr>
      </w:pPr>
      <w:r w:rsidRPr="00F6338D">
        <w:rPr>
          <w:b/>
          <w:bCs/>
        </w:rPr>
        <w:t>7. Project Health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687"/>
        <w:gridCol w:w="4612"/>
      </w:tblGrid>
      <w:tr w:rsidR="00F6338D" w:rsidRPr="00F6338D" w:rsidTr="00F6338D">
        <w:trPr>
          <w:tblHeader/>
          <w:tblCellSpacing w:w="15" w:type="dxa"/>
        </w:trPr>
        <w:tc>
          <w:tcPr>
            <w:tcW w:w="0" w:type="auto"/>
            <w:vAlign w:val="center"/>
            <w:hideMark/>
          </w:tcPr>
          <w:p w:rsidR="00F6338D" w:rsidRPr="00F6338D" w:rsidRDefault="00F6338D" w:rsidP="00F6338D">
            <w:pPr>
              <w:rPr>
                <w:b/>
                <w:bCs/>
              </w:rPr>
            </w:pPr>
            <w:r w:rsidRPr="00F6338D">
              <w:rPr>
                <w:b/>
                <w:bCs/>
              </w:rPr>
              <w:t>Indicator</w:t>
            </w:r>
          </w:p>
        </w:tc>
        <w:tc>
          <w:tcPr>
            <w:tcW w:w="0" w:type="auto"/>
            <w:vAlign w:val="center"/>
            <w:hideMark/>
          </w:tcPr>
          <w:p w:rsidR="00F6338D" w:rsidRPr="00F6338D" w:rsidRDefault="00F6338D" w:rsidP="00F6338D">
            <w:pPr>
              <w:rPr>
                <w:b/>
                <w:bCs/>
              </w:rPr>
            </w:pPr>
            <w:r w:rsidRPr="00F6338D">
              <w:rPr>
                <w:b/>
                <w:bCs/>
              </w:rPr>
              <w:t>Status</w:t>
            </w:r>
          </w:p>
        </w:tc>
        <w:tc>
          <w:tcPr>
            <w:tcW w:w="0" w:type="auto"/>
            <w:vAlign w:val="center"/>
            <w:hideMark/>
          </w:tcPr>
          <w:p w:rsidR="00F6338D" w:rsidRPr="00F6338D" w:rsidRDefault="00F6338D" w:rsidP="00F6338D">
            <w:pPr>
              <w:rPr>
                <w:b/>
                <w:bCs/>
              </w:rPr>
            </w:pPr>
            <w:r w:rsidRPr="00F6338D">
              <w:rPr>
                <w:b/>
                <w:bCs/>
              </w:rPr>
              <w:t>Comments</w:t>
            </w:r>
          </w:p>
        </w:tc>
      </w:tr>
      <w:tr w:rsidR="00F6338D" w:rsidRPr="00F6338D" w:rsidTr="00F6338D">
        <w:trPr>
          <w:tblCellSpacing w:w="15" w:type="dxa"/>
        </w:trPr>
        <w:tc>
          <w:tcPr>
            <w:tcW w:w="0" w:type="auto"/>
            <w:vAlign w:val="center"/>
            <w:hideMark/>
          </w:tcPr>
          <w:p w:rsidR="00F6338D" w:rsidRPr="00F6338D" w:rsidRDefault="00F6338D" w:rsidP="00F6338D">
            <w:r w:rsidRPr="00F6338D">
              <w:t>Schedule</w:t>
            </w:r>
          </w:p>
        </w:tc>
        <w:tc>
          <w:tcPr>
            <w:tcW w:w="0" w:type="auto"/>
            <w:vAlign w:val="center"/>
            <w:hideMark/>
          </w:tcPr>
          <w:p w:rsidR="00F6338D" w:rsidRPr="00F6338D" w:rsidRDefault="00F6338D" w:rsidP="00F6338D">
            <w:r w:rsidRPr="00F6338D">
              <w:t>Green</w:t>
            </w:r>
          </w:p>
        </w:tc>
        <w:tc>
          <w:tcPr>
            <w:tcW w:w="0" w:type="auto"/>
            <w:vAlign w:val="center"/>
            <w:hideMark/>
          </w:tcPr>
          <w:p w:rsidR="00F6338D" w:rsidRPr="00F6338D" w:rsidRDefault="00F6338D" w:rsidP="00F6338D">
            <w:r w:rsidRPr="00F6338D">
              <w:t>Project is on schedule</w:t>
            </w:r>
          </w:p>
        </w:tc>
      </w:tr>
      <w:tr w:rsidR="00F6338D" w:rsidRPr="00F6338D" w:rsidTr="00F6338D">
        <w:trPr>
          <w:tblCellSpacing w:w="15" w:type="dxa"/>
        </w:trPr>
        <w:tc>
          <w:tcPr>
            <w:tcW w:w="0" w:type="auto"/>
            <w:vAlign w:val="center"/>
            <w:hideMark/>
          </w:tcPr>
          <w:p w:rsidR="00F6338D" w:rsidRPr="00F6338D" w:rsidRDefault="00F6338D" w:rsidP="00F6338D">
            <w:r w:rsidRPr="00F6338D">
              <w:t>Budget</w:t>
            </w:r>
          </w:p>
        </w:tc>
        <w:tc>
          <w:tcPr>
            <w:tcW w:w="0" w:type="auto"/>
            <w:vAlign w:val="center"/>
            <w:hideMark/>
          </w:tcPr>
          <w:p w:rsidR="00F6338D" w:rsidRPr="00F6338D" w:rsidRDefault="00F6338D" w:rsidP="00F6338D">
            <w:r w:rsidRPr="00F6338D">
              <w:t>Green</w:t>
            </w:r>
          </w:p>
        </w:tc>
        <w:tc>
          <w:tcPr>
            <w:tcW w:w="0" w:type="auto"/>
            <w:vAlign w:val="center"/>
            <w:hideMark/>
          </w:tcPr>
          <w:p w:rsidR="00F6338D" w:rsidRPr="00F6338D" w:rsidRDefault="00F6338D" w:rsidP="00F6338D">
            <w:r w:rsidRPr="00F6338D">
              <w:t>Spending within planned budget</w:t>
            </w:r>
          </w:p>
        </w:tc>
      </w:tr>
      <w:tr w:rsidR="00F6338D" w:rsidRPr="00F6338D" w:rsidTr="00F6338D">
        <w:trPr>
          <w:tblCellSpacing w:w="15" w:type="dxa"/>
        </w:trPr>
        <w:tc>
          <w:tcPr>
            <w:tcW w:w="0" w:type="auto"/>
            <w:vAlign w:val="center"/>
            <w:hideMark/>
          </w:tcPr>
          <w:p w:rsidR="00F6338D" w:rsidRPr="00F6338D" w:rsidRDefault="00F6338D" w:rsidP="00F6338D">
            <w:r w:rsidRPr="00F6338D">
              <w:t>Scope</w:t>
            </w:r>
          </w:p>
        </w:tc>
        <w:tc>
          <w:tcPr>
            <w:tcW w:w="0" w:type="auto"/>
            <w:vAlign w:val="center"/>
            <w:hideMark/>
          </w:tcPr>
          <w:p w:rsidR="00F6338D" w:rsidRPr="00F6338D" w:rsidRDefault="00F6338D" w:rsidP="00F6338D">
            <w:r w:rsidRPr="00F6338D">
              <w:t>Green</w:t>
            </w:r>
          </w:p>
        </w:tc>
        <w:tc>
          <w:tcPr>
            <w:tcW w:w="0" w:type="auto"/>
            <w:vAlign w:val="center"/>
            <w:hideMark/>
          </w:tcPr>
          <w:p w:rsidR="00F6338D" w:rsidRPr="00F6338D" w:rsidRDefault="00F6338D" w:rsidP="00F6338D">
            <w:r w:rsidRPr="00F6338D">
              <w:t>Scope well defined and controlled</w:t>
            </w:r>
          </w:p>
        </w:tc>
      </w:tr>
      <w:tr w:rsidR="00F6338D" w:rsidRPr="00F6338D" w:rsidTr="00F6338D">
        <w:trPr>
          <w:tblCellSpacing w:w="15" w:type="dxa"/>
        </w:trPr>
        <w:tc>
          <w:tcPr>
            <w:tcW w:w="0" w:type="auto"/>
            <w:vAlign w:val="center"/>
            <w:hideMark/>
          </w:tcPr>
          <w:p w:rsidR="00F6338D" w:rsidRPr="00F6338D" w:rsidRDefault="00F6338D" w:rsidP="00F6338D">
            <w:r w:rsidRPr="00F6338D">
              <w:t>Quality</w:t>
            </w:r>
          </w:p>
        </w:tc>
        <w:tc>
          <w:tcPr>
            <w:tcW w:w="0" w:type="auto"/>
            <w:vAlign w:val="center"/>
            <w:hideMark/>
          </w:tcPr>
          <w:p w:rsidR="00F6338D" w:rsidRPr="00F6338D" w:rsidRDefault="00F6338D" w:rsidP="00F6338D">
            <w:r w:rsidRPr="00F6338D">
              <w:t>Green</w:t>
            </w:r>
          </w:p>
        </w:tc>
        <w:tc>
          <w:tcPr>
            <w:tcW w:w="0" w:type="auto"/>
            <w:vAlign w:val="center"/>
            <w:hideMark/>
          </w:tcPr>
          <w:p w:rsidR="00F6338D" w:rsidRPr="00F6338D" w:rsidRDefault="00F6338D" w:rsidP="00F6338D">
            <w:r w:rsidRPr="00F6338D">
              <w:t>Deliverables meet quality expectations</w:t>
            </w:r>
          </w:p>
        </w:tc>
      </w:tr>
      <w:tr w:rsidR="00F6338D" w:rsidRPr="00F6338D" w:rsidTr="00F6338D">
        <w:trPr>
          <w:tblCellSpacing w:w="15" w:type="dxa"/>
        </w:trPr>
        <w:tc>
          <w:tcPr>
            <w:tcW w:w="0" w:type="auto"/>
            <w:vAlign w:val="center"/>
            <w:hideMark/>
          </w:tcPr>
          <w:p w:rsidR="00F6338D" w:rsidRPr="00F6338D" w:rsidRDefault="00F6338D" w:rsidP="00F6338D">
            <w:r w:rsidRPr="00F6338D">
              <w:t>Resources</w:t>
            </w:r>
          </w:p>
        </w:tc>
        <w:tc>
          <w:tcPr>
            <w:tcW w:w="0" w:type="auto"/>
            <w:vAlign w:val="center"/>
            <w:hideMark/>
          </w:tcPr>
          <w:p w:rsidR="00F6338D" w:rsidRPr="00F6338D" w:rsidRDefault="00F6338D" w:rsidP="00F6338D">
            <w:r w:rsidRPr="00F6338D">
              <w:t>Yellow</w:t>
            </w:r>
          </w:p>
        </w:tc>
        <w:tc>
          <w:tcPr>
            <w:tcW w:w="0" w:type="auto"/>
            <w:vAlign w:val="center"/>
            <w:hideMark/>
          </w:tcPr>
          <w:p w:rsidR="00F6338D" w:rsidRPr="00F6338D" w:rsidRDefault="00F6338D" w:rsidP="00F6338D">
            <w:r w:rsidRPr="00F6338D">
              <w:t>Minor resource constraints; mitigation in place</w:t>
            </w:r>
          </w:p>
        </w:tc>
      </w:tr>
    </w:tbl>
    <w:p w:rsidR="00F6338D" w:rsidRPr="00F6338D" w:rsidRDefault="00F6338D" w:rsidP="00F6338D">
      <w:pPr>
        <w:rPr>
          <w:b/>
          <w:bCs/>
        </w:rPr>
      </w:pPr>
      <w:r w:rsidRPr="00F6338D">
        <w:rPr>
          <w:b/>
          <w:bCs/>
        </w:rPr>
        <w:t>8. Decisions Required</w:t>
      </w:r>
    </w:p>
    <w:p w:rsidR="00F6338D" w:rsidRPr="00F6338D" w:rsidRDefault="00F6338D" w:rsidP="00F6338D">
      <w:pPr>
        <w:numPr>
          <w:ilvl w:val="0"/>
          <w:numId w:val="3"/>
        </w:numPr>
      </w:pPr>
      <w:r w:rsidRPr="00F6338D">
        <w:t>Approval of additional budget for extended training sessions (estimated $20,000)</w:t>
      </w:r>
    </w:p>
    <w:p w:rsidR="00F6338D" w:rsidRPr="00F6338D" w:rsidRDefault="00F6338D" w:rsidP="00F6338D">
      <w:pPr>
        <w:numPr>
          <w:ilvl w:val="0"/>
          <w:numId w:val="3"/>
        </w:numPr>
      </w:pPr>
      <w:r w:rsidRPr="00F6338D">
        <w:t>Confirmation of vendor support contract extension for post-go-live period</w:t>
      </w:r>
    </w:p>
    <w:p w:rsidR="00F6338D" w:rsidRPr="00F6338D" w:rsidRDefault="00F6338D" w:rsidP="00F6338D">
      <w:pPr>
        <w:numPr>
          <w:ilvl w:val="0"/>
          <w:numId w:val="3"/>
        </w:numPr>
      </w:pPr>
      <w:r w:rsidRPr="00F6338D">
        <w:t>Final sign-off on migration cutover date</w:t>
      </w:r>
    </w:p>
    <w:p w:rsidR="00F6338D" w:rsidRPr="00F6338D" w:rsidRDefault="00F6338D" w:rsidP="00F6338D">
      <w:pPr>
        <w:rPr>
          <w:b/>
          <w:bCs/>
        </w:rPr>
      </w:pPr>
      <w:r w:rsidRPr="00F6338D">
        <w:rPr>
          <w:b/>
          <w:bCs/>
        </w:rPr>
        <w:t>9. Additional Notes</w:t>
      </w:r>
    </w:p>
    <w:p w:rsidR="00F6338D" w:rsidRPr="00F6338D" w:rsidRDefault="00F6338D" w:rsidP="00F6338D">
      <w:pPr>
        <w:numPr>
          <w:ilvl w:val="0"/>
          <w:numId w:val="4"/>
        </w:numPr>
      </w:pPr>
      <w:r w:rsidRPr="00F6338D">
        <w:t>The upcoming pilot migration will be closely monitored for performance and risk control.</w:t>
      </w:r>
    </w:p>
    <w:p w:rsidR="00F6338D" w:rsidRPr="00F6338D" w:rsidRDefault="00F6338D" w:rsidP="00F6338D">
      <w:pPr>
        <w:numPr>
          <w:ilvl w:val="0"/>
          <w:numId w:val="4"/>
        </w:numPr>
      </w:pPr>
      <w:r w:rsidRPr="00F6338D">
        <w:t>Regular weekly status meetings are ongoing to ensure stakeholder alignment.</w:t>
      </w:r>
    </w:p>
    <w:p w:rsidR="00F6338D" w:rsidRPr="00F6338D" w:rsidRDefault="00F6338D" w:rsidP="00F6338D">
      <w:pPr>
        <w:numPr>
          <w:ilvl w:val="0"/>
          <w:numId w:val="4"/>
        </w:numPr>
      </w:pPr>
      <w:r w:rsidRPr="00F6338D">
        <w:t>Change management activities have been successful, with high engagement in communication campaigns.</w:t>
      </w:r>
    </w:p>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989"/>
    <w:multiLevelType w:val="multilevel"/>
    <w:tmpl w:val="DD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14A9E"/>
    <w:multiLevelType w:val="multilevel"/>
    <w:tmpl w:val="ADC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86FA4"/>
    <w:multiLevelType w:val="multilevel"/>
    <w:tmpl w:val="84C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B5732"/>
    <w:multiLevelType w:val="multilevel"/>
    <w:tmpl w:val="A72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21042">
    <w:abstractNumId w:val="2"/>
  </w:num>
  <w:num w:numId="2" w16cid:durableId="293490237">
    <w:abstractNumId w:val="3"/>
  </w:num>
  <w:num w:numId="3" w16cid:durableId="1324045751">
    <w:abstractNumId w:val="1"/>
  </w:num>
  <w:num w:numId="4" w16cid:durableId="81468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8D"/>
    <w:rsid w:val="00180A00"/>
    <w:rsid w:val="0028578E"/>
    <w:rsid w:val="00A76492"/>
    <w:rsid w:val="00D22FF6"/>
    <w:rsid w:val="00DE38F6"/>
    <w:rsid w:val="00DF3020"/>
    <w:rsid w:val="00F6338D"/>
    <w:rsid w:val="00F7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751E"/>
  <w15:chartTrackingRefBased/>
  <w15:docId w15:val="{4EB71851-E7CA-4FB3-B625-9C97E964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3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3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3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3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3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3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3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3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38D"/>
    <w:rPr>
      <w:rFonts w:eastAsiaTheme="majorEastAsia" w:cstheme="majorBidi"/>
      <w:color w:val="272727" w:themeColor="text1" w:themeTint="D8"/>
    </w:rPr>
  </w:style>
  <w:style w:type="paragraph" w:styleId="Title">
    <w:name w:val="Title"/>
    <w:basedOn w:val="Normal"/>
    <w:next w:val="Normal"/>
    <w:link w:val="TitleChar"/>
    <w:uiPriority w:val="10"/>
    <w:qFormat/>
    <w:rsid w:val="00F63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38D"/>
    <w:pPr>
      <w:spacing w:before="160"/>
      <w:jc w:val="center"/>
    </w:pPr>
    <w:rPr>
      <w:i/>
      <w:iCs/>
      <w:color w:val="404040" w:themeColor="text1" w:themeTint="BF"/>
    </w:rPr>
  </w:style>
  <w:style w:type="character" w:customStyle="1" w:styleId="QuoteChar">
    <w:name w:val="Quote Char"/>
    <w:basedOn w:val="DefaultParagraphFont"/>
    <w:link w:val="Quote"/>
    <w:uiPriority w:val="29"/>
    <w:rsid w:val="00F6338D"/>
    <w:rPr>
      <w:i/>
      <w:iCs/>
      <w:color w:val="404040" w:themeColor="text1" w:themeTint="BF"/>
    </w:rPr>
  </w:style>
  <w:style w:type="paragraph" w:styleId="ListParagraph">
    <w:name w:val="List Paragraph"/>
    <w:basedOn w:val="Normal"/>
    <w:uiPriority w:val="34"/>
    <w:qFormat/>
    <w:rsid w:val="00F6338D"/>
    <w:pPr>
      <w:ind w:left="720"/>
      <w:contextualSpacing/>
    </w:pPr>
  </w:style>
  <w:style w:type="character" w:styleId="IntenseEmphasis">
    <w:name w:val="Intense Emphasis"/>
    <w:basedOn w:val="DefaultParagraphFont"/>
    <w:uiPriority w:val="21"/>
    <w:qFormat/>
    <w:rsid w:val="00F6338D"/>
    <w:rPr>
      <w:i/>
      <w:iCs/>
      <w:color w:val="2F5496" w:themeColor="accent1" w:themeShade="BF"/>
    </w:rPr>
  </w:style>
  <w:style w:type="paragraph" w:styleId="IntenseQuote">
    <w:name w:val="Intense Quote"/>
    <w:basedOn w:val="Normal"/>
    <w:next w:val="Normal"/>
    <w:link w:val="IntenseQuoteChar"/>
    <w:uiPriority w:val="30"/>
    <w:qFormat/>
    <w:rsid w:val="00F633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38D"/>
    <w:rPr>
      <w:i/>
      <w:iCs/>
      <w:color w:val="2F5496" w:themeColor="accent1" w:themeShade="BF"/>
    </w:rPr>
  </w:style>
  <w:style w:type="character" w:styleId="IntenseReference">
    <w:name w:val="Intense Reference"/>
    <w:basedOn w:val="DefaultParagraphFont"/>
    <w:uiPriority w:val="32"/>
    <w:qFormat/>
    <w:rsid w:val="00F633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338192">
      <w:bodyDiv w:val="1"/>
      <w:marLeft w:val="0"/>
      <w:marRight w:val="0"/>
      <w:marTop w:val="0"/>
      <w:marBottom w:val="0"/>
      <w:divBdr>
        <w:top w:val="none" w:sz="0" w:space="0" w:color="auto"/>
        <w:left w:val="none" w:sz="0" w:space="0" w:color="auto"/>
        <w:bottom w:val="none" w:sz="0" w:space="0" w:color="auto"/>
        <w:right w:val="none" w:sz="0" w:space="0" w:color="auto"/>
      </w:divBdr>
      <w:divsChild>
        <w:div w:id="1364477117">
          <w:marLeft w:val="0"/>
          <w:marRight w:val="0"/>
          <w:marTop w:val="0"/>
          <w:marBottom w:val="0"/>
          <w:divBdr>
            <w:top w:val="none" w:sz="0" w:space="0" w:color="auto"/>
            <w:left w:val="none" w:sz="0" w:space="0" w:color="auto"/>
            <w:bottom w:val="none" w:sz="0" w:space="0" w:color="auto"/>
            <w:right w:val="none" w:sz="0" w:space="0" w:color="auto"/>
          </w:divBdr>
          <w:divsChild>
            <w:div w:id="1943994633">
              <w:marLeft w:val="0"/>
              <w:marRight w:val="0"/>
              <w:marTop w:val="0"/>
              <w:marBottom w:val="0"/>
              <w:divBdr>
                <w:top w:val="none" w:sz="0" w:space="0" w:color="auto"/>
                <w:left w:val="none" w:sz="0" w:space="0" w:color="auto"/>
                <w:bottom w:val="none" w:sz="0" w:space="0" w:color="auto"/>
                <w:right w:val="none" w:sz="0" w:space="0" w:color="auto"/>
              </w:divBdr>
              <w:divsChild>
                <w:div w:id="1028220001">
                  <w:marLeft w:val="0"/>
                  <w:marRight w:val="0"/>
                  <w:marTop w:val="0"/>
                  <w:marBottom w:val="0"/>
                  <w:divBdr>
                    <w:top w:val="none" w:sz="0" w:space="0" w:color="auto"/>
                    <w:left w:val="none" w:sz="0" w:space="0" w:color="auto"/>
                    <w:bottom w:val="none" w:sz="0" w:space="0" w:color="auto"/>
                    <w:right w:val="none" w:sz="0" w:space="0" w:color="auto"/>
                  </w:divBdr>
                  <w:divsChild>
                    <w:div w:id="1835798741">
                      <w:marLeft w:val="0"/>
                      <w:marRight w:val="0"/>
                      <w:marTop w:val="0"/>
                      <w:marBottom w:val="0"/>
                      <w:divBdr>
                        <w:top w:val="none" w:sz="0" w:space="0" w:color="auto"/>
                        <w:left w:val="none" w:sz="0" w:space="0" w:color="auto"/>
                        <w:bottom w:val="none" w:sz="0" w:space="0" w:color="auto"/>
                        <w:right w:val="none" w:sz="0" w:space="0" w:color="auto"/>
                      </w:divBdr>
                      <w:divsChild>
                        <w:div w:id="173422398">
                          <w:marLeft w:val="0"/>
                          <w:marRight w:val="0"/>
                          <w:marTop w:val="0"/>
                          <w:marBottom w:val="0"/>
                          <w:divBdr>
                            <w:top w:val="none" w:sz="0" w:space="0" w:color="auto"/>
                            <w:left w:val="none" w:sz="0" w:space="0" w:color="auto"/>
                            <w:bottom w:val="none" w:sz="0" w:space="0" w:color="auto"/>
                            <w:right w:val="none" w:sz="0" w:space="0" w:color="auto"/>
                          </w:divBdr>
                          <w:divsChild>
                            <w:div w:id="769739054">
                              <w:marLeft w:val="0"/>
                              <w:marRight w:val="0"/>
                              <w:marTop w:val="0"/>
                              <w:marBottom w:val="0"/>
                              <w:divBdr>
                                <w:top w:val="none" w:sz="0" w:space="0" w:color="auto"/>
                                <w:left w:val="none" w:sz="0" w:space="0" w:color="auto"/>
                                <w:bottom w:val="none" w:sz="0" w:space="0" w:color="auto"/>
                                <w:right w:val="none" w:sz="0" w:space="0" w:color="auto"/>
                              </w:divBdr>
                              <w:divsChild>
                                <w:div w:id="2026324140">
                                  <w:marLeft w:val="0"/>
                                  <w:marRight w:val="0"/>
                                  <w:marTop w:val="0"/>
                                  <w:marBottom w:val="0"/>
                                  <w:divBdr>
                                    <w:top w:val="none" w:sz="0" w:space="0" w:color="auto"/>
                                    <w:left w:val="none" w:sz="0" w:space="0" w:color="auto"/>
                                    <w:bottom w:val="none" w:sz="0" w:space="0" w:color="auto"/>
                                    <w:right w:val="none" w:sz="0" w:space="0" w:color="auto"/>
                                  </w:divBdr>
                                  <w:divsChild>
                                    <w:div w:id="8609682">
                                      <w:marLeft w:val="0"/>
                                      <w:marRight w:val="0"/>
                                      <w:marTop w:val="0"/>
                                      <w:marBottom w:val="0"/>
                                      <w:divBdr>
                                        <w:top w:val="none" w:sz="0" w:space="0" w:color="auto"/>
                                        <w:left w:val="none" w:sz="0" w:space="0" w:color="auto"/>
                                        <w:bottom w:val="none" w:sz="0" w:space="0" w:color="auto"/>
                                        <w:right w:val="none" w:sz="0" w:space="0" w:color="auto"/>
                                      </w:divBdr>
                                      <w:divsChild>
                                        <w:div w:id="1235507588">
                                          <w:marLeft w:val="0"/>
                                          <w:marRight w:val="0"/>
                                          <w:marTop w:val="0"/>
                                          <w:marBottom w:val="0"/>
                                          <w:divBdr>
                                            <w:top w:val="none" w:sz="0" w:space="0" w:color="auto"/>
                                            <w:left w:val="none" w:sz="0" w:space="0" w:color="auto"/>
                                            <w:bottom w:val="none" w:sz="0" w:space="0" w:color="auto"/>
                                            <w:right w:val="none" w:sz="0" w:space="0" w:color="auto"/>
                                          </w:divBdr>
                                          <w:divsChild>
                                            <w:div w:id="1273365666">
                                              <w:marLeft w:val="0"/>
                                              <w:marRight w:val="0"/>
                                              <w:marTop w:val="0"/>
                                              <w:marBottom w:val="0"/>
                                              <w:divBdr>
                                                <w:top w:val="none" w:sz="0" w:space="0" w:color="auto"/>
                                                <w:left w:val="none" w:sz="0" w:space="0" w:color="auto"/>
                                                <w:bottom w:val="none" w:sz="0" w:space="0" w:color="auto"/>
                                                <w:right w:val="none" w:sz="0" w:space="0" w:color="auto"/>
                                              </w:divBdr>
                                            </w:div>
                                          </w:divsChild>
                                        </w:div>
                                        <w:div w:id="1793668754">
                                          <w:marLeft w:val="0"/>
                                          <w:marRight w:val="0"/>
                                          <w:marTop w:val="0"/>
                                          <w:marBottom w:val="0"/>
                                          <w:divBdr>
                                            <w:top w:val="none" w:sz="0" w:space="0" w:color="auto"/>
                                            <w:left w:val="none" w:sz="0" w:space="0" w:color="auto"/>
                                            <w:bottom w:val="none" w:sz="0" w:space="0" w:color="auto"/>
                                            <w:right w:val="none" w:sz="0" w:space="0" w:color="auto"/>
                                          </w:divBdr>
                                          <w:divsChild>
                                            <w:div w:id="1844010744">
                                              <w:marLeft w:val="0"/>
                                              <w:marRight w:val="0"/>
                                              <w:marTop w:val="0"/>
                                              <w:marBottom w:val="0"/>
                                              <w:divBdr>
                                                <w:top w:val="none" w:sz="0" w:space="0" w:color="auto"/>
                                                <w:left w:val="none" w:sz="0" w:space="0" w:color="auto"/>
                                                <w:bottom w:val="none" w:sz="0" w:space="0" w:color="auto"/>
                                                <w:right w:val="none" w:sz="0" w:space="0" w:color="auto"/>
                                              </w:divBdr>
                                            </w:div>
                                          </w:divsChild>
                                        </w:div>
                                        <w:div w:id="1202867265">
                                          <w:marLeft w:val="0"/>
                                          <w:marRight w:val="0"/>
                                          <w:marTop w:val="0"/>
                                          <w:marBottom w:val="0"/>
                                          <w:divBdr>
                                            <w:top w:val="none" w:sz="0" w:space="0" w:color="auto"/>
                                            <w:left w:val="none" w:sz="0" w:space="0" w:color="auto"/>
                                            <w:bottom w:val="none" w:sz="0" w:space="0" w:color="auto"/>
                                            <w:right w:val="none" w:sz="0" w:space="0" w:color="auto"/>
                                          </w:divBdr>
                                          <w:divsChild>
                                            <w:div w:id="1558737263">
                                              <w:marLeft w:val="0"/>
                                              <w:marRight w:val="0"/>
                                              <w:marTop w:val="0"/>
                                              <w:marBottom w:val="0"/>
                                              <w:divBdr>
                                                <w:top w:val="none" w:sz="0" w:space="0" w:color="auto"/>
                                                <w:left w:val="none" w:sz="0" w:space="0" w:color="auto"/>
                                                <w:bottom w:val="none" w:sz="0" w:space="0" w:color="auto"/>
                                                <w:right w:val="none" w:sz="0" w:space="0" w:color="auto"/>
                                              </w:divBdr>
                                            </w:div>
                                          </w:divsChild>
                                        </w:div>
                                        <w:div w:id="834607157">
                                          <w:marLeft w:val="0"/>
                                          <w:marRight w:val="0"/>
                                          <w:marTop w:val="0"/>
                                          <w:marBottom w:val="0"/>
                                          <w:divBdr>
                                            <w:top w:val="none" w:sz="0" w:space="0" w:color="auto"/>
                                            <w:left w:val="none" w:sz="0" w:space="0" w:color="auto"/>
                                            <w:bottom w:val="none" w:sz="0" w:space="0" w:color="auto"/>
                                            <w:right w:val="none" w:sz="0" w:space="0" w:color="auto"/>
                                          </w:divBdr>
                                          <w:divsChild>
                                            <w:div w:id="1406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03924">
                      <w:marLeft w:val="0"/>
                      <w:marRight w:val="0"/>
                      <w:marTop w:val="0"/>
                      <w:marBottom w:val="0"/>
                      <w:divBdr>
                        <w:top w:val="none" w:sz="0" w:space="0" w:color="auto"/>
                        <w:left w:val="none" w:sz="0" w:space="0" w:color="auto"/>
                        <w:bottom w:val="none" w:sz="0" w:space="0" w:color="auto"/>
                        <w:right w:val="none" w:sz="0" w:space="0" w:color="auto"/>
                      </w:divBdr>
                      <w:divsChild>
                        <w:div w:id="9771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83502">
      <w:bodyDiv w:val="1"/>
      <w:marLeft w:val="0"/>
      <w:marRight w:val="0"/>
      <w:marTop w:val="0"/>
      <w:marBottom w:val="0"/>
      <w:divBdr>
        <w:top w:val="none" w:sz="0" w:space="0" w:color="auto"/>
        <w:left w:val="none" w:sz="0" w:space="0" w:color="auto"/>
        <w:bottom w:val="none" w:sz="0" w:space="0" w:color="auto"/>
        <w:right w:val="none" w:sz="0" w:space="0" w:color="auto"/>
      </w:divBdr>
      <w:divsChild>
        <w:div w:id="1200706734">
          <w:marLeft w:val="0"/>
          <w:marRight w:val="0"/>
          <w:marTop w:val="0"/>
          <w:marBottom w:val="0"/>
          <w:divBdr>
            <w:top w:val="none" w:sz="0" w:space="0" w:color="auto"/>
            <w:left w:val="none" w:sz="0" w:space="0" w:color="auto"/>
            <w:bottom w:val="none" w:sz="0" w:space="0" w:color="auto"/>
            <w:right w:val="none" w:sz="0" w:space="0" w:color="auto"/>
          </w:divBdr>
          <w:divsChild>
            <w:div w:id="1734700322">
              <w:marLeft w:val="0"/>
              <w:marRight w:val="0"/>
              <w:marTop w:val="0"/>
              <w:marBottom w:val="0"/>
              <w:divBdr>
                <w:top w:val="none" w:sz="0" w:space="0" w:color="auto"/>
                <w:left w:val="none" w:sz="0" w:space="0" w:color="auto"/>
                <w:bottom w:val="none" w:sz="0" w:space="0" w:color="auto"/>
                <w:right w:val="none" w:sz="0" w:space="0" w:color="auto"/>
              </w:divBdr>
              <w:divsChild>
                <w:div w:id="580136562">
                  <w:marLeft w:val="0"/>
                  <w:marRight w:val="0"/>
                  <w:marTop w:val="0"/>
                  <w:marBottom w:val="0"/>
                  <w:divBdr>
                    <w:top w:val="none" w:sz="0" w:space="0" w:color="auto"/>
                    <w:left w:val="none" w:sz="0" w:space="0" w:color="auto"/>
                    <w:bottom w:val="none" w:sz="0" w:space="0" w:color="auto"/>
                    <w:right w:val="none" w:sz="0" w:space="0" w:color="auto"/>
                  </w:divBdr>
                  <w:divsChild>
                    <w:div w:id="1447581970">
                      <w:marLeft w:val="0"/>
                      <w:marRight w:val="0"/>
                      <w:marTop w:val="0"/>
                      <w:marBottom w:val="0"/>
                      <w:divBdr>
                        <w:top w:val="none" w:sz="0" w:space="0" w:color="auto"/>
                        <w:left w:val="none" w:sz="0" w:space="0" w:color="auto"/>
                        <w:bottom w:val="none" w:sz="0" w:space="0" w:color="auto"/>
                        <w:right w:val="none" w:sz="0" w:space="0" w:color="auto"/>
                      </w:divBdr>
                      <w:divsChild>
                        <w:div w:id="14188211">
                          <w:marLeft w:val="0"/>
                          <w:marRight w:val="0"/>
                          <w:marTop w:val="0"/>
                          <w:marBottom w:val="0"/>
                          <w:divBdr>
                            <w:top w:val="none" w:sz="0" w:space="0" w:color="auto"/>
                            <w:left w:val="none" w:sz="0" w:space="0" w:color="auto"/>
                            <w:bottom w:val="none" w:sz="0" w:space="0" w:color="auto"/>
                            <w:right w:val="none" w:sz="0" w:space="0" w:color="auto"/>
                          </w:divBdr>
                          <w:divsChild>
                            <w:div w:id="26377678">
                              <w:marLeft w:val="0"/>
                              <w:marRight w:val="0"/>
                              <w:marTop w:val="0"/>
                              <w:marBottom w:val="0"/>
                              <w:divBdr>
                                <w:top w:val="none" w:sz="0" w:space="0" w:color="auto"/>
                                <w:left w:val="none" w:sz="0" w:space="0" w:color="auto"/>
                                <w:bottom w:val="none" w:sz="0" w:space="0" w:color="auto"/>
                                <w:right w:val="none" w:sz="0" w:space="0" w:color="auto"/>
                              </w:divBdr>
                              <w:divsChild>
                                <w:div w:id="2083749346">
                                  <w:marLeft w:val="0"/>
                                  <w:marRight w:val="0"/>
                                  <w:marTop w:val="0"/>
                                  <w:marBottom w:val="0"/>
                                  <w:divBdr>
                                    <w:top w:val="none" w:sz="0" w:space="0" w:color="auto"/>
                                    <w:left w:val="none" w:sz="0" w:space="0" w:color="auto"/>
                                    <w:bottom w:val="none" w:sz="0" w:space="0" w:color="auto"/>
                                    <w:right w:val="none" w:sz="0" w:space="0" w:color="auto"/>
                                  </w:divBdr>
                                  <w:divsChild>
                                    <w:div w:id="877008023">
                                      <w:marLeft w:val="0"/>
                                      <w:marRight w:val="0"/>
                                      <w:marTop w:val="0"/>
                                      <w:marBottom w:val="0"/>
                                      <w:divBdr>
                                        <w:top w:val="none" w:sz="0" w:space="0" w:color="auto"/>
                                        <w:left w:val="none" w:sz="0" w:space="0" w:color="auto"/>
                                        <w:bottom w:val="none" w:sz="0" w:space="0" w:color="auto"/>
                                        <w:right w:val="none" w:sz="0" w:space="0" w:color="auto"/>
                                      </w:divBdr>
                                      <w:divsChild>
                                        <w:div w:id="1136753768">
                                          <w:marLeft w:val="0"/>
                                          <w:marRight w:val="0"/>
                                          <w:marTop w:val="0"/>
                                          <w:marBottom w:val="0"/>
                                          <w:divBdr>
                                            <w:top w:val="none" w:sz="0" w:space="0" w:color="auto"/>
                                            <w:left w:val="none" w:sz="0" w:space="0" w:color="auto"/>
                                            <w:bottom w:val="none" w:sz="0" w:space="0" w:color="auto"/>
                                            <w:right w:val="none" w:sz="0" w:space="0" w:color="auto"/>
                                          </w:divBdr>
                                          <w:divsChild>
                                            <w:div w:id="1592159948">
                                              <w:marLeft w:val="0"/>
                                              <w:marRight w:val="0"/>
                                              <w:marTop w:val="0"/>
                                              <w:marBottom w:val="0"/>
                                              <w:divBdr>
                                                <w:top w:val="none" w:sz="0" w:space="0" w:color="auto"/>
                                                <w:left w:val="none" w:sz="0" w:space="0" w:color="auto"/>
                                                <w:bottom w:val="none" w:sz="0" w:space="0" w:color="auto"/>
                                                <w:right w:val="none" w:sz="0" w:space="0" w:color="auto"/>
                                              </w:divBdr>
                                            </w:div>
                                          </w:divsChild>
                                        </w:div>
                                        <w:div w:id="1799453036">
                                          <w:marLeft w:val="0"/>
                                          <w:marRight w:val="0"/>
                                          <w:marTop w:val="0"/>
                                          <w:marBottom w:val="0"/>
                                          <w:divBdr>
                                            <w:top w:val="none" w:sz="0" w:space="0" w:color="auto"/>
                                            <w:left w:val="none" w:sz="0" w:space="0" w:color="auto"/>
                                            <w:bottom w:val="none" w:sz="0" w:space="0" w:color="auto"/>
                                            <w:right w:val="none" w:sz="0" w:space="0" w:color="auto"/>
                                          </w:divBdr>
                                          <w:divsChild>
                                            <w:div w:id="1717702566">
                                              <w:marLeft w:val="0"/>
                                              <w:marRight w:val="0"/>
                                              <w:marTop w:val="0"/>
                                              <w:marBottom w:val="0"/>
                                              <w:divBdr>
                                                <w:top w:val="none" w:sz="0" w:space="0" w:color="auto"/>
                                                <w:left w:val="none" w:sz="0" w:space="0" w:color="auto"/>
                                                <w:bottom w:val="none" w:sz="0" w:space="0" w:color="auto"/>
                                                <w:right w:val="none" w:sz="0" w:space="0" w:color="auto"/>
                                              </w:divBdr>
                                            </w:div>
                                          </w:divsChild>
                                        </w:div>
                                        <w:div w:id="1171874686">
                                          <w:marLeft w:val="0"/>
                                          <w:marRight w:val="0"/>
                                          <w:marTop w:val="0"/>
                                          <w:marBottom w:val="0"/>
                                          <w:divBdr>
                                            <w:top w:val="none" w:sz="0" w:space="0" w:color="auto"/>
                                            <w:left w:val="none" w:sz="0" w:space="0" w:color="auto"/>
                                            <w:bottom w:val="none" w:sz="0" w:space="0" w:color="auto"/>
                                            <w:right w:val="none" w:sz="0" w:space="0" w:color="auto"/>
                                          </w:divBdr>
                                          <w:divsChild>
                                            <w:div w:id="1023361394">
                                              <w:marLeft w:val="0"/>
                                              <w:marRight w:val="0"/>
                                              <w:marTop w:val="0"/>
                                              <w:marBottom w:val="0"/>
                                              <w:divBdr>
                                                <w:top w:val="none" w:sz="0" w:space="0" w:color="auto"/>
                                                <w:left w:val="none" w:sz="0" w:space="0" w:color="auto"/>
                                                <w:bottom w:val="none" w:sz="0" w:space="0" w:color="auto"/>
                                                <w:right w:val="none" w:sz="0" w:space="0" w:color="auto"/>
                                              </w:divBdr>
                                            </w:div>
                                          </w:divsChild>
                                        </w:div>
                                        <w:div w:id="704134132">
                                          <w:marLeft w:val="0"/>
                                          <w:marRight w:val="0"/>
                                          <w:marTop w:val="0"/>
                                          <w:marBottom w:val="0"/>
                                          <w:divBdr>
                                            <w:top w:val="none" w:sz="0" w:space="0" w:color="auto"/>
                                            <w:left w:val="none" w:sz="0" w:space="0" w:color="auto"/>
                                            <w:bottom w:val="none" w:sz="0" w:space="0" w:color="auto"/>
                                            <w:right w:val="none" w:sz="0" w:space="0" w:color="auto"/>
                                          </w:divBdr>
                                          <w:divsChild>
                                            <w:div w:id="14421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362891">
                      <w:marLeft w:val="0"/>
                      <w:marRight w:val="0"/>
                      <w:marTop w:val="0"/>
                      <w:marBottom w:val="0"/>
                      <w:divBdr>
                        <w:top w:val="none" w:sz="0" w:space="0" w:color="auto"/>
                        <w:left w:val="none" w:sz="0" w:space="0" w:color="auto"/>
                        <w:bottom w:val="none" w:sz="0" w:space="0" w:color="auto"/>
                        <w:right w:val="none" w:sz="0" w:space="0" w:color="auto"/>
                      </w:divBdr>
                      <w:divsChild>
                        <w:div w:id="6090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2025-07-21T15:15:00Z</dcterms:created>
  <dcterms:modified xsi:type="dcterms:W3CDTF">2025-07-26T17:47:00Z</dcterms:modified>
</cp:coreProperties>
</file>