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373E" w:rsidRDefault="002C373E" w:rsidP="002C373E">
      <w:r>
        <w:t>Regulatory Compliance Checklist and CAK Reporting</w:t>
      </w:r>
    </w:p>
    <w:p w:rsidR="002C373E" w:rsidRDefault="002C373E" w:rsidP="002C373E">
      <w:r>
        <w:t>Checklist:</w:t>
      </w:r>
      <w:r>
        <w:br/>
        <w:t>- Local data hosting (Nairobi DC)</w:t>
      </w:r>
      <w:r>
        <w:br/>
        <w:t>- Pre/post reporting to CAK</w:t>
      </w:r>
      <w:r>
        <w:br/>
        <w:t>- AES-256 + TLS 1.3 for encryption</w:t>
      </w:r>
      <w:r>
        <w:br/>
        <w:t>- 180-day audit log retention</w:t>
      </w:r>
    </w:p>
    <w:p w:rsidR="002C373E" w:rsidRDefault="002C373E" w:rsidP="002C373E">
      <w:r>
        <w:t>Reports:</w:t>
      </w:r>
      <w:r>
        <w:br/>
        <w:t>- DPIA submitted</w:t>
      </w:r>
      <w:r>
        <w:br/>
        <w:t>- Encryption Policy + Audit Trail logs</w:t>
      </w:r>
    </w:p>
    <w:p w:rsidR="002C373E" w:rsidRDefault="002C373E" w:rsidP="002C373E">
      <w:r>
        <w:t>Compliance:</w:t>
      </w:r>
      <w:r>
        <w:br/>
        <w:t>Aligned with Kenya Data Protection Act 2019 &amp; Cybercrimes Act</w:t>
      </w:r>
    </w:p>
    <w:p w:rsidR="00DE38F6" w:rsidRDefault="00DE38F6"/>
    <w:sectPr w:rsidR="00DE38F6" w:rsidSect="002C37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3A"/>
    <w:rsid w:val="00180A00"/>
    <w:rsid w:val="0028578E"/>
    <w:rsid w:val="002C373E"/>
    <w:rsid w:val="00A76492"/>
    <w:rsid w:val="00D22FF6"/>
    <w:rsid w:val="00DE38F6"/>
    <w:rsid w:val="00EE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C34E"/>
  <w15:chartTrackingRefBased/>
  <w15:docId w15:val="{758C052B-A6A0-4886-98D1-AD083156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73E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13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13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13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13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13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13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13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13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13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E0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13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E0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13A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0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13A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E0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2025-07-26T18:11:00Z</dcterms:created>
  <dcterms:modified xsi:type="dcterms:W3CDTF">2025-07-26T18:13:00Z</dcterms:modified>
</cp:coreProperties>
</file>