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67F2" w:rsidRPr="005567F2" w:rsidRDefault="005567F2" w:rsidP="005567F2"/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Cloud Migration Project Charter – Telco Core Systems Migration Initiative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1. Project Overview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1.1 Background</w:t>
      </w:r>
    </w:p>
    <w:p w:rsidR="005567F2" w:rsidRPr="005567F2" w:rsidRDefault="002540FC" w:rsidP="005567F2">
      <w:r w:rsidRPr="005567F2">
        <w:t>Telco Net</w:t>
      </w:r>
      <w:r w:rsidR="005567F2" w:rsidRPr="005567F2">
        <w:t xml:space="preserve"> Communications Ltd. currently operates legacy on-premises IT infrastructure that supports mission-critical business support systems (BSS), operational support systems (OSS), billing, CRM, and customer-facing portals. These systems are increasingly difficult to maintain, costly to scale, and vulnerable to outages, directly impacting customer satisfaction and business agility.</w:t>
      </w:r>
    </w:p>
    <w:p w:rsidR="005567F2" w:rsidRPr="005567F2" w:rsidRDefault="005567F2" w:rsidP="005567F2">
      <w:r w:rsidRPr="005567F2">
        <w:t xml:space="preserve">To stay competitive and support the company’s digital transformation roadmap, </w:t>
      </w:r>
      <w:proofErr w:type="spellStart"/>
      <w:r w:rsidRPr="005567F2">
        <w:t>TelcoNet</w:t>
      </w:r>
      <w:proofErr w:type="spellEnd"/>
      <w:r w:rsidRPr="005567F2">
        <w:t xml:space="preserve"> has authorized this cloud migration project aimed at transitioning to a hybrid cloud architecture leveraging AWS and Microsoft Azure. The migration will enable scalable infrastructure, robust disaster recovery, and improved system performance.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1.2 Purpose</w:t>
      </w:r>
    </w:p>
    <w:p w:rsidR="005567F2" w:rsidRPr="005567F2" w:rsidRDefault="005567F2" w:rsidP="005567F2">
      <w:r w:rsidRPr="005567F2">
        <w:t>The purpose of this project is to:</w:t>
      </w:r>
    </w:p>
    <w:p w:rsidR="005567F2" w:rsidRPr="005567F2" w:rsidRDefault="005567F2" w:rsidP="005567F2">
      <w:pPr>
        <w:numPr>
          <w:ilvl w:val="0"/>
          <w:numId w:val="1"/>
        </w:numPr>
      </w:pPr>
      <w:r w:rsidRPr="005567F2">
        <w:t>Modernize IT infrastructure to support rapid growth and 5G rollout.</w:t>
      </w:r>
    </w:p>
    <w:p w:rsidR="005567F2" w:rsidRPr="005567F2" w:rsidRDefault="005567F2" w:rsidP="005567F2">
      <w:pPr>
        <w:numPr>
          <w:ilvl w:val="0"/>
          <w:numId w:val="1"/>
        </w:numPr>
      </w:pPr>
      <w:r w:rsidRPr="005567F2">
        <w:t>Achieve cost efficiencies via cloud consumption models.</w:t>
      </w:r>
    </w:p>
    <w:p w:rsidR="005567F2" w:rsidRPr="005567F2" w:rsidRDefault="005567F2" w:rsidP="005567F2">
      <w:pPr>
        <w:numPr>
          <w:ilvl w:val="0"/>
          <w:numId w:val="1"/>
        </w:numPr>
      </w:pPr>
      <w:r w:rsidRPr="005567F2">
        <w:t>Enhance operational resilience and compliance with telecom regulations.</w:t>
      </w:r>
    </w:p>
    <w:p w:rsidR="005567F2" w:rsidRPr="005567F2" w:rsidRDefault="005567F2" w:rsidP="005567F2">
      <w:pPr>
        <w:numPr>
          <w:ilvl w:val="0"/>
          <w:numId w:val="1"/>
        </w:numPr>
      </w:pPr>
      <w:r w:rsidRPr="005567F2">
        <w:t>Enable agility for rapid deployment of new telecom services.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2. Project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5266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Success Criteria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Complete migration of 95% of core OSS/BSS systems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Full migration completed within 12 months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Maintain ≥ 99.99% uptime during and after migration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Zero critical outages, 5 hours max planned downtime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Achieve 30% reduction in operational costs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Monthly cloud spend and support costs reduced by 30% within 1 year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lastRenderedPageBreak/>
              <w:t>Fully train 100% of IT operations staff on cloud tools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Training completion certificates for all relevant staff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Ensure 100% compliance with GDPR, ISO 27001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Compliance audit clearance and documented controls</w:t>
            </w:r>
          </w:p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3. Scope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3.1 In-Scope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Current environment assessment and documentation.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Network architecture redesign for cloud integration.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Lift-and-shift and re-platforming of legacy systems (OSS, BSS, CRM).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Cloud security configurations including IAM, encryption, and logging.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Setup of CI/CD pipelines for cloud infrastructure deployment.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Data migration, validation, and cutover.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End-user acceptance testing (UAT) and performance benchmarking.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Training and documentation for post-migration operations.</w:t>
      </w:r>
    </w:p>
    <w:p w:rsidR="005567F2" w:rsidRPr="005567F2" w:rsidRDefault="005567F2" w:rsidP="005567F2">
      <w:pPr>
        <w:numPr>
          <w:ilvl w:val="0"/>
          <w:numId w:val="2"/>
        </w:numPr>
      </w:pPr>
      <w:r w:rsidRPr="005567F2">
        <w:t>Change management including stakeholder engagement and communication.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3.2 Out-of-Scope</w:t>
      </w:r>
    </w:p>
    <w:p w:rsidR="005567F2" w:rsidRPr="005567F2" w:rsidRDefault="005567F2" w:rsidP="005567F2">
      <w:pPr>
        <w:numPr>
          <w:ilvl w:val="0"/>
          <w:numId w:val="3"/>
        </w:numPr>
      </w:pPr>
      <w:r w:rsidRPr="005567F2">
        <w:t>Redesign or re-architecture of customer-facing mobile applications.</w:t>
      </w:r>
    </w:p>
    <w:p w:rsidR="005567F2" w:rsidRPr="005567F2" w:rsidRDefault="005567F2" w:rsidP="005567F2">
      <w:pPr>
        <w:numPr>
          <w:ilvl w:val="0"/>
          <w:numId w:val="3"/>
        </w:numPr>
      </w:pPr>
      <w:r w:rsidRPr="005567F2">
        <w:t>Replacement or upgrade of physical telco hardware outside data centers.</w:t>
      </w:r>
    </w:p>
    <w:p w:rsidR="005567F2" w:rsidRPr="005567F2" w:rsidRDefault="005567F2" w:rsidP="005567F2">
      <w:pPr>
        <w:numPr>
          <w:ilvl w:val="0"/>
          <w:numId w:val="3"/>
        </w:numPr>
      </w:pPr>
      <w:r w:rsidRPr="005567F2">
        <w:t>Decommissioning of legacy data centers (handled separately).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4.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952"/>
        <w:gridCol w:w="1060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Due Date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Cloud Readiness Assessment Report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Gap analysis, risk assessment, cost-benefit analysis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1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High-Level and Low-Level Cloud Architecture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Network topology, security layers, failover mechanisms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2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lastRenderedPageBreak/>
              <w:t>Migration Strategy and Runbook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Detailed migration phases, rollback procedures, downtime windows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3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Security and Compliance Framework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Policies, IAM roles, encryption standards, audit trail setup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4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Training Materials and Session Records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Manuals, videos, hands-on workshops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5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Migration Execution Reports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Phase completion reports, issues logs, risk mitigation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6-11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Final QA and Performance Test Reports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UAT results, load test benchmarks, SLA verifications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11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Closure and Lessons Learned Report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Post-implementation review, KPI achievement, handover documents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 12</w:t>
            </w:r>
          </w:p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5. Milestones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334"/>
        <w:gridCol w:w="3177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Notes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01-Aug-2025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Formal project start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Completion of Assessment Phase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15-Sep-2025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Deliver readiness report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Cloud Architecture Approval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01-Oct-2025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Approved by architecture board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Completion of Pilot Migration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30-Nov-2025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Pilot testing with selected apps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Completion of Phased Migrations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28-Feb-2026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OSS and BSS migrated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Final QA and UAT Completed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15-Mar-2026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System validated for production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Go-Live and Production Cutover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30-Mar-2026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Switch production workloads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Closure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15-Apr-2026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Handover to operations</w:t>
            </w:r>
          </w:p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6. Budget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429"/>
        <w:gridCol w:w="4123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lastRenderedPageBreak/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Estimated Amount (USD)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Comments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Cloud Platform Subscriptions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$120,000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AWS &amp; Azure combined costs for 12 months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Migration &amp; Integration Tools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$30,000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Software licensing and monitoring tools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Professional Services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$40,000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Vendor consultants and architects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 xml:space="preserve">Training and Change </w:t>
            </w:r>
            <w:proofErr w:type="spellStart"/>
            <w:r w:rsidRPr="005567F2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$15,000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Workshops, manuals, support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Contingency (10%)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$20,500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Reserved for unforeseen expenses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rPr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rPr>
                <w:b/>
                <w:bCs/>
              </w:rPr>
              <w:t>$225,500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/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7.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827"/>
        <w:gridCol w:w="4233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Responsibility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CIO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Strategic oversight, budget approval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Program Director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Steering Committee Chair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governance and milestone approvals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Delivery Lead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 xml:space="preserve">Daily management, reporting, resource </w:t>
            </w:r>
            <w:proofErr w:type="spellStart"/>
            <w:r w:rsidRPr="005567F2">
              <w:t>mgmt</w:t>
            </w:r>
            <w:proofErr w:type="spellEnd"/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Cloud Architecture Lead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Technical Design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Infrastructure design and technology choices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Compliance Lead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Regulatory and security compliance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Business Unit Heads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Key Users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Requirement input, user acceptance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Vendor Partners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Cloud Providers &amp; Consultants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Implementation support and cloud expertise</w:t>
            </w:r>
          </w:p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8.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1149"/>
        <w:gridCol w:w="884"/>
        <w:gridCol w:w="4286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lastRenderedPageBreak/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Mitigation Plan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Data Loss during Migration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High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Enforce snapshot backups, validate test restores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Migration Delays due to Technical Issues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Establish escalation paths, incremental migration approach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Compliance Audit Failure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Low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High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Early legal consultation, continuous compliance monitoring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Insufficient Staff Cloud Skills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High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Conduct focused training, hire cloud specialists if needed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Budget Overruns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Monitor spending weekly, change control board reviews</w:t>
            </w:r>
          </w:p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9. Assumptions</w:t>
      </w:r>
    </w:p>
    <w:p w:rsidR="005567F2" w:rsidRPr="005567F2" w:rsidRDefault="005567F2" w:rsidP="005567F2">
      <w:pPr>
        <w:numPr>
          <w:ilvl w:val="0"/>
          <w:numId w:val="4"/>
        </w:numPr>
      </w:pPr>
      <w:r w:rsidRPr="005567F2">
        <w:t>Legacy system documentation is complete and accurate.</w:t>
      </w:r>
    </w:p>
    <w:p w:rsidR="005567F2" w:rsidRPr="005567F2" w:rsidRDefault="005567F2" w:rsidP="005567F2">
      <w:pPr>
        <w:numPr>
          <w:ilvl w:val="0"/>
          <w:numId w:val="4"/>
        </w:numPr>
      </w:pPr>
      <w:r w:rsidRPr="005567F2">
        <w:t>Required internal teams will be available for testing and approvals.</w:t>
      </w:r>
    </w:p>
    <w:p w:rsidR="005567F2" w:rsidRPr="005567F2" w:rsidRDefault="005567F2" w:rsidP="005567F2">
      <w:pPr>
        <w:numPr>
          <w:ilvl w:val="0"/>
          <w:numId w:val="4"/>
        </w:numPr>
      </w:pPr>
      <w:r w:rsidRPr="005567F2">
        <w:t>Cloud providers maintain SLAs supporting project uptime goals.</w:t>
      </w:r>
    </w:p>
    <w:p w:rsidR="005567F2" w:rsidRPr="005567F2" w:rsidRDefault="005567F2" w:rsidP="005567F2">
      <w:pPr>
        <w:numPr>
          <w:ilvl w:val="0"/>
          <w:numId w:val="4"/>
        </w:numPr>
      </w:pPr>
      <w:r w:rsidRPr="005567F2">
        <w:t>No significant changes in regulatory requirements during project timeline.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10. Constraints</w:t>
      </w:r>
    </w:p>
    <w:p w:rsidR="005567F2" w:rsidRPr="005567F2" w:rsidRDefault="005567F2" w:rsidP="005567F2">
      <w:pPr>
        <w:numPr>
          <w:ilvl w:val="0"/>
          <w:numId w:val="5"/>
        </w:numPr>
      </w:pPr>
      <w:r w:rsidRPr="005567F2">
        <w:t>Migration activities limited to non-business hours to minimize user impact.</w:t>
      </w:r>
    </w:p>
    <w:p w:rsidR="005567F2" w:rsidRPr="005567F2" w:rsidRDefault="005567F2" w:rsidP="005567F2">
      <w:pPr>
        <w:numPr>
          <w:ilvl w:val="0"/>
          <w:numId w:val="5"/>
        </w:numPr>
      </w:pPr>
      <w:r w:rsidRPr="005567F2">
        <w:t>Fixed budget and resource availability limiting scope expansion.</w:t>
      </w:r>
    </w:p>
    <w:p w:rsidR="005567F2" w:rsidRPr="005567F2" w:rsidRDefault="005567F2" w:rsidP="005567F2">
      <w:pPr>
        <w:numPr>
          <w:ilvl w:val="0"/>
          <w:numId w:val="5"/>
        </w:numPr>
      </w:pPr>
      <w:r w:rsidRPr="005567F2">
        <w:t>Compliance with telecom industry data sovereignty and privacy laws.</w:t>
      </w:r>
    </w:p>
    <w:p w:rsidR="005567F2" w:rsidRPr="005567F2" w:rsidRDefault="005567F2" w:rsidP="005567F2">
      <w:pPr>
        <w:numPr>
          <w:ilvl w:val="0"/>
          <w:numId w:val="5"/>
        </w:numPr>
      </w:pPr>
      <w:r w:rsidRPr="005567F2">
        <w:t>Legacy system incompatibilities may require limited workarounds.</w:t>
      </w:r>
    </w:p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11.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192"/>
        <w:gridCol w:w="1676"/>
        <w:gridCol w:w="2254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Method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Executive Steering Updates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CIO, Program Director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Bi-weekly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Email/Meetings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Team Meetings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Weekly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Video Conference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Risk &amp; Issue Reporting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PM, Stakeholders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As needed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Dashboard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lastRenderedPageBreak/>
              <w:t>Training Sessions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IT Operations Staff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Monthly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Workshops/Webinars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Migration Status Reports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Milestone Based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Reports &amp; Dashboards</w:t>
            </w:r>
          </w:p>
        </w:tc>
      </w:tr>
    </w:tbl>
    <w:p w:rsidR="005567F2" w:rsidRPr="005567F2" w:rsidRDefault="005567F2" w:rsidP="005567F2">
      <w:pPr>
        <w:rPr>
          <w:b/>
          <w:bCs/>
        </w:rPr>
      </w:pPr>
      <w:r w:rsidRPr="005567F2">
        <w:rPr>
          <w:b/>
          <w:bCs/>
        </w:rPr>
        <w:t>12. Approval</w:t>
      </w:r>
    </w:p>
    <w:p w:rsidR="005567F2" w:rsidRPr="005567F2" w:rsidRDefault="005567F2" w:rsidP="005567F2">
      <w:r w:rsidRPr="005567F2">
        <w:t>By signing below, all parties approve the contents of this charter and authorize the project to proceed.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480"/>
        <w:gridCol w:w="2212"/>
        <w:gridCol w:w="1510"/>
      </w:tblGrid>
      <w:tr w:rsidR="005567F2" w:rsidRPr="005567F2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pPr>
              <w:rPr>
                <w:b/>
                <w:bCs/>
              </w:rPr>
            </w:pPr>
            <w:r w:rsidRPr="005567F2">
              <w:rPr>
                <w:b/>
                <w:bCs/>
              </w:rPr>
              <w:t>Date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Chief Information Officer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____________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[Program Director]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Program Director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____________</w:t>
            </w:r>
          </w:p>
        </w:tc>
      </w:tr>
      <w:tr w:rsidR="005567F2" w:rsidRPr="005567F2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[Your Name]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5567F2" w:rsidRPr="005567F2" w:rsidRDefault="005567F2" w:rsidP="005567F2">
            <w:r w:rsidRPr="005567F2">
              <w:t>____________</w:t>
            </w:r>
          </w:p>
        </w:tc>
      </w:tr>
    </w:tbl>
    <w:p w:rsidR="005567F2" w:rsidRPr="005567F2" w:rsidRDefault="005567F2" w:rsidP="005567F2"/>
    <w:sectPr w:rsidR="005567F2" w:rsidRPr="0055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296C"/>
    <w:multiLevelType w:val="multilevel"/>
    <w:tmpl w:val="BF8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55C8"/>
    <w:multiLevelType w:val="multilevel"/>
    <w:tmpl w:val="4FF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E37EA"/>
    <w:multiLevelType w:val="multilevel"/>
    <w:tmpl w:val="9D7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17F5B"/>
    <w:multiLevelType w:val="multilevel"/>
    <w:tmpl w:val="14D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5283E"/>
    <w:multiLevelType w:val="multilevel"/>
    <w:tmpl w:val="F9C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88335">
    <w:abstractNumId w:val="0"/>
  </w:num>
  <w:num w:numId="2" w16cid:durableId="2074038632">
    <w:abstractNumId w:val="3"/>
  </w:num>
  <w:num w:numId="3" w16cid:durableId="850988601">
    <w:abstractNumId w:val="1"/>
  </w:num>
  <w:num w:numId="4" w16cid:durableId="1690184017">
    <w:abstractNumId w:val="4"/>
  </w:num>
  <w:num w:numId="5" w16cid:durableId="649099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F2"/>
    <w:rsid w:val="00180A00"/>
    <w:rsid w:val="002540FC"/>
    <w:rsid w:val="0028578E"/>
    <w:rsid w:val="005567F2"/>
    <w:rsid w:val="005C7D37"/>
    <w:rsid w:val="00A76492"/>
    <w:rsid w:val="00D22FF6"/>
    <w:rsid w:val="00DE38F6"/>
    <w:rsid w:val="00D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8FA8-6278-4426-B842-5AA48F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6</cp:revision>
  <dcterms:created xsi:type="dcterms:W3CDTF">2025-07-21T12:33:00Z</dcterms:created>
  <dcterms:modified xsi:type="dcterms:W3CDTF">2025-07-26T17:28:00Z</dcterms:modified>
</cp:coreProperties>
</file>