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5314" w14:textId="77777777" w:rsidR="000E139F" w:rsidRPr="000E139F" w:rsidRDefault="000E139F" w:rsidP="000E139F">
      <w:pPr>
        <w:rPr>
          <w:b/>
          <w:bCs/>
        </w:rPr>
      </w:pPr>
      <w:r w:rsidRPr="000E139F">
        <w:rPr>
          <w:b/>
          <w:bCs/>
        </w:rPr>
        <w:t xml:space="preserve">1. Final Project Performance Report </w:t>
      </w:r>
    </w:p>
    <w:p w14:paraId="44A01DB4" w14:textId="77777777" w:rsidR="000E139F" w:rsidRPr="000E139F" w:rsidRDefault="000E139F" w:rsidP="000E139F">
      <w:r w:rsidRPr="000E139F">
        <w:rPr>
          <w:i/>
          <w:iCs/>
        </w:rPr>
        <w:t>Compare actual results against the project charter, scope, schedule, budget, and KPIs.</w:t>
      </w:r>
    </w:p>
    <w:p w14:paraId="4DA04A8C" w14:textId="77777777" w:rsidR="000E139F" w:rsidRPr="000E139F" w:rsidRDefault="000E139F" w:rsidP="000E139F">
      <w:r w:rsidRPr="000E139F">
        <w:rPr>
          <w:b/>
          <w:bCs/>
        </w:rPr>
        <w:t>Sections &amp; Content:</w:t>
      </w:r>
    </w:p>
    <w:p w14:paraId="1958B3A1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Executive Summary</w:t>
      </w:r>
    </w:p>
    <w:p w14:paraId="7AEFE800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Snapshot of overall achievement</w:t>
      </w:r>
    </w:p>
    <w:p w14:paraId="60A430E6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Key statistics: number of NGOs onboarded, % CRM access, % M&amp;E pipeline completion</w:t>
      </w:r>
    </w:p>
    <w:p w14:paraId="15F4CCC9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Objective-by-Objective Scorecard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676"/>
        <w:gridCol w:w="975"/>
        <w:gridCol w:w="819"/>
        <w:gridCol w:w="846"/>
        <w:gridCol w:w="659"/>
      </w:tblGrid>
      <w:tr w:rsidR="000E139F" w:rsidRPr="000E139F" w14:paraId="6492B5E1" w14:textId="77777777" w:rsidTr="000E1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0FDB4" w14:textId="77777777" w:rsidR="000E139F" w:rsidRPr="000E139F" w:rsidRDefault="000E139F" w:rsidP="000E139F">
            <w:pPr>
              <w:rPr>
                <w:b/>
                <w:bCs/>
              </w:rPr>
            </w:pPr>
            <w:r w:rsidRPr="000E139F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2F1D58F" w14:textId="77777777" w:rsidR="000E139F" w:rsidRPr="000E139F" w:rsidRDefault="000E139F" w:rsidP="000E139F">
            <w:pPr>
              <w:rPr>
                <w:b/>
                <w:bCs/>
              </w:rPr>
            </w:pPr>
            <w:r w:rsidRPr="000E139F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129A8979" w14:textId="77777777" w:rsidR="000E139F" w:rsidRPr="000E139F" w:rsidRDefault="000E139F" w:rsidP="000E139F">
            <w:pPr>
              <w:rPr>
                <w:b/>
                <w:bCs/>
              </w:rPr>
            </w:pPr>
            <w:r w:rsidRPr="000E139F">
              <w:rPr>
                <w:b/>
                <w:bCs/>
              </w:rPr>
              <w:t>Achieved</w:t>
            </w:r>
          </w:p>
        </w:tc>
        <w:tc>
          <w:tcPr>
            <w:tcW w:w="0" w:type="auto"/>
            <w:vAlign w:val="center"/>
            <w:hideMark/>
          </w:tcPr>
          <w:p w14:paraId="4D98951D" w14:textId="77777777" w:rsidR="000E139F" w:rsidRPr="000E139F" w:rsidRDefault="000E139F" w:rsidP="000E139F">
            <w:pPr>
              <w:rPr>
                <w:b/>
                <w:bCs/>
              </w:rPr>
            </w:pPr>
            <w:r w:rsidRPr="000E139F">
              <w:rPr>
                <w:b/>
                <w:bCs/>
              </w:rPr>
              <w:t>RAG Status</w:t>
            </w:r>
          </w:p>
        </w:tc>
        <w:tc>
          <w:tcPr>
            <w:tcW w:w="0" w:type="auto"/>
            <w:vAlign w:val="center"/>
            <w:hideMark/>
          </w:tcPr>
          <w:p w14:paraId="719D662E" w14:textId="77777777" w:rsidR="000E139F" w:rsidRPr="000E139F" w:rsidRDefault="000E139F" w:rsidP="000E139F">
            <w:pPr>
              <w:rPr>
                <w:b/>
                <w:bCs/>
              </w:rPr>
            </w:pPr>
            <w:r w:rsidRPr="000E139F">
              <w:rPr>
                <w:b/>
                <w:bCs/>
              </w:rPr>
              <w:t>Variant %</w:t>
            </w:r>
          </w:p>
        </w:tc>
        <w:tc>
          <w:tcPr>
            <w:tcW w:w="0" w:type="auto"/>
            <w:vAlign w:val="center"/>
            <w:hideMark/>
          </w:tcPr>
          <w:p w14:paraId="3E65DB16" w14:textId="77777777" w:rsidR="000E139F" w:rsidRPr="000E139F" w:rsidRDefault="000E139F" w:rsidP="000E139F">
            <w:pPr>
              <w:rPr>
                <w:b/>
                <w:bCs/>
              </w:rPr>
            </w:pPr>
            <w:r w:rsidRPr="000E139F">
              <w:rPr>
                <w:b/>
                <w:bCs/>
              </w:rPr>
              <w:t>Notes</w:t>
            </w:r>
          </w:p>
        </w:tc>
      </w:tr>
      <w:tr w:rsidR="000E139F" w:rsidRPr="000E139F" w14:paraId="08C30A2D" w14:textId="77777777" w:rsidTr="000E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5F3D" w14:textId="77777777" w:rsidR="000E139F" w:rsidRPr="000E139F" w:rsidRDefault="000E139F" w:rsidP="000E139F">
            <w:r w:rsidRPr="000E139F">
              <w:rPr>
                <w:i/>
                <w:iCs/>
              </w:rPr>
              <w:t>(Including: cloud migration rate, CRM adoption %, reduction in manual M&amp;E cycle time, system uptime, gender &amp; regional data inclusion.)</w:t>
            </w:r>
          </w:p>
        </w:tc>
        <w:tc>
          <w:tcPr>
            <w:tcW w:w="0" w:type="auto"/>
            <w:vAlign w:val="center"/>
            <w:hideMark/>
          </w:tcPr>
          <w:p w14:paraId="384A9395" w14:textId="77777777" w:rsidR="000E139F" w:rsidRPr="000E139F" w:rsidRDefault="000E139F" w:rsidP="000E139F"/>
        </w:tc>
        <w:tc>
          <w:tcPr>
            <w:tcW w:w="0" w:type="auto"/>
            <w:vAlign w:val="center"/>
            <w:hideMark/>
          </w:tcPr>
          <w:p w14:paraId="200C8EAD" w14:textId="77777777" w:rsidR="000E139F" w:rsidRPr="000E139F" w:rsidRDefault="000E139F" w:rsidP="000E139F"/>
        </w:tc>
        <w:tc>
          <w:tcPr>
            <w:tcW w:w="0" w:type="auto"/>
            <w:vAlign w:val="center"/>
            <w:hideMark/>
          </w:tcPr>
          <w:p w14:paraId="1CCA4AA2" w14:textId="77777777" w:rsidR="000E139F" w:rsidRPr="000E139F" w:rsidRDefault="000E139F" w:rsidP="000E139F"/>
        </w:tc>
        <w:tc>
          <w:tcPr>
            <w:tcW w:w="0" w:type="auto"/>
            <w:vAlign w:val="center"/>
            <w:hideMark/>
          </w:tcPr>
          <w:p w14:paraId="179DDCC8" w14:textId="77777777" w:rsidR="000E139F" w:rsidRPr="000E139F" w:rsidRDefault="000E139F" w:rsidP="000E139F"/>
        </w:tc>
        <w:tc>
          <w:tcPr>
            <w:tcW w:w="0" w:type="auto"/>
            <w:vAlign w:val="center"/>
            <w:hideMark/>
          </w:tcPr>
          <w:p w14:paraId="1E2B936A" w14:textId="77777777" w:rsidR="000E139F" w:rsidRPr="000E139F" w:rsidRDefault="000E139F" w:rsidP="000E139F"/>
        </w:tc>
      </w:tr>
    </w:tbl>
    <w:p w14:paraId="3D6A0A75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Scope Compliance &amp; Change Log</w:t>
      </w:r>
    </w:p>
    <w:p w14:paraId="2820077E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Base scope deliverables (e.g., 74 NGOs’ systems onboarded).</w:t>
      </w:r>
    </w:p>
    <w:p w14:paraId="6FCC3035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Summary of approved changes (change requests #14, #21, #27), impact on time/budget, and rationale.</w:t>
      </w:r>
    </w:p>
    <w:p w14:paraId="07624D61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Schedule Performance Index (SPI)</w:t>
      </w:r>
    </w:p>
    <w:p w14:paraId="613F39E9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Gantt timeline of each major phase.</w:t>
      </w:r>
    </w:p>
    <w:p w14:paraId="519D77E9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SPI and CPI calculation (e.g., delivery 5 % behind due to training delays).</w:t>
      </w:r>
    </w:p>
    <w:p w14:paraId="210DFE70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Budget Analysis &amp; Cost Variance</w:t>
      </w:r>
    </w:p>
    <w:p w14:paraId="30E6CB88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Expenditure breakdown vs. original USD 18.4 M budget (HR, training, licenses, infrastructure).</w:t>
      </w:r>
    </w:p>
    <w:p w14:paraId="211AE6C4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Variance explanations (e.g., −3 % in travel due to virtual trainings; +5 % in AWS credits for prolonged pilot).</w:t>
      </w:r>
    </w:p>
    <w:p w14:paraId="2013B630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Risk &amp; Issue Closure Extract</w:t>
      </w:r>
    </w:p>
    <w:p w14:paraId="2F40FFC5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Final disposition of 234 logged risks (resolved: 200; escalated: 12; closed: 22 as “accepted risk”).</w:t>
      </w:r>
    </w:p>
    <w:p w14:paraId="6BA0E21C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lastRenderedPageBreak/>
        <w:t>Top 5 residual risks and ongoing mitigations.</w:t>
      </w:r>
    </w:p>
    <w:p w14:paraId="160F3932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Quality &amp; Compliance Scorecard</w:t>
      </w:r>
    </w:p>
    <w:p w14:paraId="6111F1BA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UAT pass rate: 99 %.</w:t>
      </w:r>
    </w:p>
    <w:p w14:paraId="0873601D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Security audit results: 1 low</w:t>
      </w:r>
      <w:r w:rsidRPr="000E139F">
        <w:noBreakHyphen/>
        <w:t>risk finding closed; ISO 27001 checklist metrics 95 % compliant.</w:t>
      </w:r>
    </w:p>
    <w:p w14:paraId="4D3AEF75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Stakeholder Feedback Synopsis</w:t>
      </w:r>
    </w:p>
    <w:p w14:paraId="69013ACF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480 users surveyed: 4.2/5 satisfaction.</w:t>
      </w:r>
    </w:p>
    <w:p w14:paraId="6F3A1932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Qualitative quotes summarizing system value, training quality, support.</w:t>
      </w:r>
    </w:p>
    <w:p w14:paraId="22E598FD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Benefits Realization</w:t>
      </w:r>
    </w:p>
    <w:p w14:paraId="5D2AE545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Time saved in donor reporting: 35% faster in 45 NGOs.</w:t>
      </w:r>
    </w:p>
    <w:p w14:paraId="51AA6D38" w14:textId="77777777" w:rsidR="000E139F" w:rsidRPr="000E139F" w:rsidRDefault="000E139F" w:rsidP="000E139F">
      <w:pPr>
        <w:numPr>
          <w:ilvl w:val="1"/>
          <w:numId w:val="1"/>
        </w:numPr>
      </w:pPr>
      <w:r w:rsidRPr="000E139F">
        <w:t>Increase in immediate KPI submissions via mobile: +47%.</w:t>
      </w:r>
    </w:p>
    <w:p w14:paraId="122CDF6E" w14:textId="77777777" w:rsidR="000E139F" w:rsidRPr="000E139F" w:rsidRDefault="000E139F" w:rsidP="000E139F">
      <w:pPr>
        <w:numPr>
          <w:ilvl w:val="0"/>
          <w:numId w:val="1"/>
        </w:numPr>
      </w:pPr>
      <w:r w:rsidRPr="000E139F">
        <w:rPr>
          <w:b/>
          <w:bCs/>
        </w:rPr>
        <w:t>Conclusion &amp; Recommendations</w:t>
      </w:r>
    </w:p>
    <w:p w14:paraId="5E842985" w14:textId="77777777" w:rsidR="000E139F" w:rsidRPr="000E139F" w:rsidRDefault="000E139F" w:rsidP="000E139F">
      <w:pPr>
        <w:numPr>
          <w:ilvl w:val="0"/>
          <w:numId w:val="2"/>
        </w:numPr>
      </w:pPr>
      <w:r w:rsidRPr="000E139F">
        <w:t>Assessment vs. Go</w:t>
      </w:r>
      <w:r w:rsidRPr="000E139F">
        <w:noBreakHyphen/>
        <w:t>No-Go criteria.</w:t>
      </w:r>
    </w:p>
    <w:p w14:paraId="0F39B3C1" w14:textId="77777777" w:rsidR="000E139F" w:rsidRPr="000E139F" w:rsidRDefault="000E139F" w:rsidP="000E139F">
      <w:pPr>
        <w:numPr>
          <w:ilvl w:val="0"/>
          <w:numId w:val="2"/>
        </w:numPr>
      </w:pPr>
      <w:r w:rsidRPr="000E139F">
        <w:t>Suggested roadmap for next phase or scale-up.</w:t>
      </w:r>
    </w:p>
    <w:p w14:paraId="33B19DD3" w14:textId="77777777" w:rsidR="000E139F" w:rsidRPr="000E139F" w:rsidRDefault="000E139F" w:rsidP="000E139F">
      <w:r w:rsidRPr="000E139F">
        <w:rPr>
          <w:i/>
          <w:iCs/>
        </w:rPr>
        <w:t>This structure aligns with PMI guidance for formal final project reports typically produced in the closing stage (turn0search15, turn0search24)</w:t>
      </w:r>
      <w:r w:rsidRPr="000E139F">
        <w:t>.</w:t>
      </w:r>
    </w:p>
    <w:p w14:paraId="40006FA9" w14:textId="77777777" w:rsidR="000E139F" w:rsidRPr="000E139F" w:rsidRDefault="000E139F" w:rsidP="000E139F"/>
    <w:sectPr w:rsidR="000E139F" w:rsidRPr="000E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779A9"/>
    <w:multiLevelType w:val="multilevel"/>
    <w:tmpl w:val="36B6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0153F"/>
    <w:multiLevelType w:val="multilevel"/>
    <w:tmpl w:val="998C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A25F6"/>
    <w:multiLevelType w:val="multilevel"/>
    <w:tmpl w:val="EDEC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46A41"/>
    <w:multiLevelType w:val="multilevel"/>
    <w:tmpl w:val="0632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E4DE8"/>
    <w:multiLevelType w:val="multilevel"/>
    <w:tmpl w:val="145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47A9D"/>
    <w:multiLevelType w:val="multilevel"/>
    <w:tmpl w:val="6D06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957365">
    <w:abstractNumId w:val="3"/>
  </w:num>
  <w:num w:numId="2" w16cid:durableId="974598518">
    <w:abstractNumId w:val="2"/>
  </w:num>
  <w:num w:numId="3" w16cid:durableId="141166456">
    <w:abstractNumId w:val="0"/>
  </w:num>
  <w:num w:numId="4" w16cid:durableId="958611399">
    <w:abstractNumId w:val="1"/>
  </w:num>
  <w:num w:numId="5" w16cid:durableId="1679848418">
    <w:abstractNumId w:val="5"/>
  </w:num>
  <w:num w:numId="6" w16cid:durableId="448209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9F"/>
    <w:rsid w:val="000720FB"/>
    <w:rsid w:val="000E139F"/>
    <w:rsid w:val="00180A00"/>
    <w:rsid w:val="0028578E"/>
    <w:rsid w:val="00AE089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C6D1"/>
  <w15:chartTrackingRefBased/>
  <w15:docId w15:val="{A6B947D3-944C-4E64-8CFD-B16F0E3F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2025-08-02T17:21:00Z</dcterms:created>
  <dcterms:modified xsi:type="dcterms:W3CDTF">2025-08-02T17:33:00Z</dcterms:modified>
</cp:coreProperties>
</file>