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FC87" w14:textId="77777777" w:rsidR="00B70924" w:rsidRDefault="00B70924" w:rsidP="00B70924">
      <w:pPr>
        <w:rPr>
          <w:rFonts w:ascii="Segoe UI Emoji" w:hAnsi="Segoe UI Emoji" w:cs="Segoe UI Emoji"/>
          <w:b/>
          <w:bCs/>
        </w:rPr>
      </w:pPr>
      <w:r w:rsidRPr="000E139F">
        <w:rPr>
          <w:b/>
          <w:bCs/>
        </w:rPr>
        <w:t xml:space="preserve"> Financial Closure &amp; Budget Reconciliation Report </w:t>
      </w:r>
    </w:p>
    <w:p w14:paraId="6221BBA1" w14:textId="77777777" w:rsidR="00B70924" w:rsidRPr="000E139F" w:rsidRDefault="00B70924" w:rsidP="00B70924">
      <w:r w:rsidRPr="000E139F">
        <w:rPr>
          <w:i/>
          <w:iCs/>
        </w:rPr>
        <w:t>Provide detailed accounting, finalize donor reporting, and ensure audit-readiness.</w:t>
      </w:r>
    </w:p>
    <w:p w14:paraId="4328019B" w14:textId="77777777" w:rsidR="00B70924" w:rsidRPr="000E139F" w:rsidRDefault="00B70924" w:rsidP="00B70924">
      <w:r w:rsidRPr="000E139F">
        <w:rPr>
          <w:b/>
          <w:bCs/>
        </w:rPr>
        <w:t>Components:</w:t>
      </w:r>
    </w:p>
    <w:p w14:paraId="70D26349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Funding Source Ledger</w:t>
      </w:r>
    </w:p>
    <w:p w14:paraId="5237C867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List by source: UN core funds, EU consortium, regional grants—with committed and as</w:t>
      </w:r>
      <w:r w:rsidRPr="000E139F">
        <w:noBreakHyphen/>
        <w:t>spent totals.</w:t>
      </w:r>
    </w:p>
    <w:p w14:paraId="410FEC03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Expense Breakdown</w:t>
      </w:r>
    </w:p>
    <w:p w14:paraId="1ADE0BB4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Categories: HR, Software, Training, Travel, Infrastructure, Contingency.</w:t>
      </w:r>
    </w:p>
    <w:p w14:paraId="5373BF59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Tabular analysis (budgeted vs. actual with variance %, variance reasons).</w:t>
      </w:r>
    </w:p>
    <w:p w14:paraId="1A8093B3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Budget Reconciliation Schedule</w:t>
      </w:r>
    </w:p>
    <w:p w14:paraId="51AEEFC0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Step-by-step tasks: orphan expense identification, bank reconciliation, vendor invoice clearance.</w:t>
      </w:r>
    </w:p>
    <w:p w14:paraId="3F307BA8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Variance &amp; Forecast Summary</w:t>
      </w:r>
    </w:p>
    <w:p w14:paraId="4204ACE1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Examples: “USD 0.4 M under</w:t>
      </w:r>
      <w:r w:rsidRPr="000E139F">
        <w:noBreakHyphen/>
        <w:t>spend rolled into contingency”; “+USD 40 k over</w:t>
      </w:r>
      <w:r w:rsidRPr="000E139F">
        <w:noBreakHyphen/>
        <w:t>run due to bilingual translation costs”.</w:t>
      </w:r>
    </w:p>
    <w:p w14:paraId="48690D34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Unspent/Returnable Funds Report</w:t>
      </w:r>
    </w:p>
    <w:p w14:paraId="012C5917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Guidance on donor-specific policies (e.g. re-allocation vs. refund).</w:t>
      </w:r>
    </w:p>
    <w:p w14:paraId="1D6268A0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Unspent reserves list (Row IDs, last date, recommendation for use).</w:t>
      </w:r>
    </w:p>
    <w:p w14:paraId="63548E7A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Audit Supporting Schedule</w:t>
      </w:r>
    </w:p>
    <w:p w14:paraId="3DEAC72F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Proof of payment docs archived; reference numbers cross-linked to vendor contracts; hint on financial archive retention timelines.</w:t>
      </w:r>
    </w:p>
    <w:p w14:paraId="72E82499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Lessons Learned in Financial Management</w:t>
      </w:r>
    </w:p>
    <w:p w14:paraId="4ED0E935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e.g. benefits of virtual procurement events, forex exposure in budget line 3.</w:t>
      </w:r>
    </w:p>
    <w:p w14:paraId="3F8F782F" w14:textId="77777777" w:rsidR="00B70924" w:rsidRPr="000E139F" w:rsidRDefault="00B70924" w:rsidP="00B70924">
      <w:pPr>
        <w:numPr>
          <w:ilvl w:val="0"/>
          <w:numId w:val="1"/>
        </w:numPr>
      </w:pPr>
      <w:r w:rsidRPr="000E139F">
        <w:rPr>
          <w:b/>
          <w:bCs/>
        </w:rPr>
        <w:t>Sign-off Log</w:t>
      </w:r>
    </w:p>
    <w:p w14:paraId="7E028C6C" w14:textId="77777777" w:rsidR="00B70924" w:rsidRPr="000E139F" w:rsidRDefault="00B70924" w:rsidP="00B70924">
      <w:pPr>
        <w:numPr>
          <w:ilvl w:val="1"/>
          <w:numId w:val="1"/>
        </w:numPr>
      </w:pPr>
      <w:r w:rsidRPr="000E139F">
        <w:t>Official closure signatories: UN Finance Officer, NGO Lead Finance, External Auditor clearance.</w:t>
      </w:r>
    </w:p>
    <w:p w14:paraId="42D1F3E9" w14:textId="77777777" w:rsidR="00B70924" w:rsidRPr="000E139F" w:rsidRDefault="00B70924" w:rsidP="00B70924">
      <w:r w:rsidRPr="000E139F">
        <w:rPr>
          <w:i/>
          <w:iCs/>
        </w:rPr>
        <w:t>This aligns with financial close guidelines and best practices cited in project finance literature and reconciliation frameworks (turn0search16, turn0search26, turn0search36)</w:t>
      </w:r>
      <w:r w:rsidRPr="000E139F">
        <w:t>.</w:t>
      </w:r>
    </w:p>
    <w:p w14:paraId="0B87020C" w14:textId="77777777" w:rsidR="00B70924" w:rsidRPr="000E139F" w:rsidRDefault="00B70924" w:rsidP="00B70924"/>
    <w:p w14:paraId="55663603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0153F"/>
    <w:multiLevelType w:val="multilevel"/>
    <w:tmpl w:val="998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61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4"/>
    <w:rsid w:val="00180A00"/>
    <w:rsid w:val="0028578E"/>
    <w:rsid w:val="00AE089B"/>
    <w:rsid w:val="00B7092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693A"/>
  <w15:chartTrackingRefBased/>
  <w15:docId w15:val="{200D0424-8A10-4771-AD73-33C43C18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24"/>
  </w:style>
  <w:style w:type="paragraph" w:styleId="Heading1">
    <w:name w:val="heading 1"/>
    <w:basedOn w:val="Normal"/>
    <w:next w:val="Normal"/>
    <w:link w:val="Heading1Char"/>
    <w:uiPriority w:val="9"/>
    <w:qFormat/>
    <w:rsid w:val="00B7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2025-08-02T17:25:00Z</dcterms:created>
  <dcterms:modified xsi:type="dcterms:W3CDTF">2025-08-02T17:26:00Z</dcterms:modified>
</cp:coreProperties>
</file>