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EC772" w14:textId="77777777" w:rsidR="00073106" w:rsidRPr="00396F76" w:rsidRDefault="00073106" w:rsidP="00073106">
      <w:pPr>
        <w:rPr>
          <w:b/>
          <w:bCs/>
        </w:rPr>
      </w:pPr>
      <w:r w:rsidRPr="00396F76">
        <w:rPr>
          <w:b/>
          <w:bCs/>
        </w:rPr>
        <w:t xml:space="preserve"> API Specifications &amp; Integration Contracts</w:t>
      </w:r>
    </w:p>
    <w:p w14:paraId="11B64A5E" w14:textId="77777777" w:rsidR="00073106" w:rsidRPr="00396F76" w:rsidRDefault="00073106" w:rsidP="00073106">
      <w:r w:rsidRPr="00396F76">
        <w:rPr>
          <w:b/>
          <w:bCs/>
        </w:rPr>
        <w:t>Purpose:</w:t>
      </w:r>
      <w:r w:rsidRPr="00396F76">
        <w:t xml:space="preserve"> To guide how third-party systems, mobile apps, or internal modules communicate securely and consistently with the core system.</w:t>
      </w:r>
    </w:p>
    <w:p w14:paraId="194FA57C" w14:textId="77777777" w:rsidR="00073106" w:rsidRPr="00396F76" w:rsidRDefault="00073106" w:rsidP="00073106">
      <w:r w:rsidRPr="00396F76">
        <w:rPr>
          <w:b/>
          <w:bCs/>
        </w:rPr>
        <w:t>Key Technical Components:</w:t>
      </w:r>
    </w:p>
    <w:p w14:paraId="1F8C3567" w14:textId="77777777" w:rsidR="00073106" w:rsidRPr="00396F76" w:rsidRDefault="00073106" w:rsidP="00073106">
      <w:pPr>
        <w:numPr>
          <w:ilvl w:val="0"/>
          <w:numId w:val="1"/>
        </w:numPr>
      </w:pPr>
      <w:r w:rsidRPr="00396F76">
        <w:rPr>
          <w:b/>
          <w:bCs/>
        </w:rPr>
        <w:t>RESTful Endpoint Documentation:</w:t>
      </w:r>
    </w:p>
    <w:p w14:paraId="60E98276" w14:textId="77777777" w:rsidR="00073106" w:rsidRPr="00396F76" w:rsidRDefault="00073106" w:rsidP="00073106">
      <w:pPr>
        <w:numPr>
          <w:ilvl w:val="1"/>
          <w:numId w:val="1"/>
        </w:numPr>
      </w:pPr>
      <w:r w:rsidRPr="00396F76">
        <w:t>Base URLs, path variables, query parameters</w:t>
      </w:r>
    </w:p>
    <w:p w14:paraId="793EE518" w14:textId="77777777" w:rsidR="00073106" w:rsidRPr="00396F76" w:rsidRDefault="00073106" w:rsidP="00073106">
      <w:pPr>
        <w:numPr>
          <w:ilvl w:val="1"/>
          <w:numId w:val="1"/>
        </w:numPr>
      </w:pPr>
      <w:r w:rsidRPr="00396F76">
        <w:t>Example: GET /</w:t>
      </w:r>
      <w:proofErr w:type="spellStart"/>
      <w:r w:rsidRPr="00396F76">
        <w:t>api</w:t>
      </w:r>
      <w:proofErr w:type="spellEnd"/>
      <w:r w:rsidRPr="00396F76">
        <w:t>/v1/beneficiaries/{id}/interventions</w:t>
      </w:r>
    </w:p>
    <w:p w14:paraId="7CE7D010" w14:textId="77777777" w:rsidR="00073106" w:rsidRPr="00396F76" w:rsidRDefault="00073106" w:rsidP="00073106">
      <w:pPr>
        <w:numPr>
          <w:ilvl w:val="0"/>
          <w:numId w:val="1"/>
        </w:numPr>
      </w:pPr>
      <w:r w:rsidRPr="00396F76">
        <w:rPr>
          <w:b/>
          <w:bCs/>
        </w:rPr>
        <w:t>Data Schemas:</w:t>
      </w:r>
    </w:p>
    <w:p w14:paraId="6425E9E0" w14:textId="77777777" w:rsidR="00073106" w:rsidRPr="00396F76" w:rsidRDefault="00073106" w:rsidP="00073106">
      <w:pPr>
        <w:numPr>
          <w:ilvl w:val="1"/>
          <w:numId w:val="1"/>
        </w:numPr>
      </w:pPr>
      <w:r w:rsidRPr="00396F76">
        <w:t>JSON request and response formats</w:t>
      </w:r>
    </w:p>
    <w:p w14:paraId="1D8A1E27" w14:textId="77777777" w:rsidR="00073106" w:rsidRPr="00396F76" w:rsidRDefault="00073106" w:rsidP="00073106">
      <w:pPr>
        <w:numPr>
          <w:ilvl w:val="1"/>
          <w:numId w:val="1"/>
        </w:numPr>
      </w:pPr>
      <w:r w:rsidRPr="00396F76">
        <w:t>Example payloads and field-level validations</w:t>
      </w:r>
    </w:p>
    <w:p w14:paraId="56B38799" w14:textId="77777777" w:rsidR="00073106" w:rsidRPr="00396F76" w:rsidRDefault="00073106" w:rsidP="00073106">
      <w:pPr>
        <w:numPr>
          <w:ilvl w:val="0"/>
          <w:numId w:val="1"/>
        </w:numPr>
      </w:pPr>
      <w:r w:rsidRPr="00396F76">
        <w:rPr>
          <w:b/>
          <w:bCs/>
        </w:rPr>
        <w:t>Authentication &amp; Security:</w:t>
      </w:r>
    </w:p>
    <w:p w14:paraId="4065D2B9" w14:textId="77777777" w:rsidR="00073106" w:rsidRPr="00396F76" w:rsidRDefault="00073106" w:rsidP="00073106">
      <w:pPr>
        <w:numPr>
          <w:ilvl w:val="1"/>
          <w:numId w:val="1"/>
        </w:numPr>
      </w:pPr>
      <w:r w:rsidRPr="00396F76">
        <w:t>OAuth 2.0 / JWT tokens</w:t>
      </w:r>
    </w:p>
    <w:p w14:paraId="1D51CA64" w14:textId="77777777" w:rsidR="00073106" w:rsidRPr="00396F76" w:rsidRDefault="00073106" w:rsidP="00073106">
      <w:pPr>
        <w:numPr>
          <w:ilvl w:val="1"/>
          <w:numId w:val="1"/>
        </w:numPr>
      </w:pPr>
      <w:r w:rsidRPr="00396F76">
        <w:t>API key management for partners</w:t>
      </w:r>
    </w:p>
    <w:p w14:paraId="65CE273B" w14:textId="77777777" w:rsidR="00073106" w:rsidRPr="00396F76" w:rsidRDefault="00073106" w:rsidP="00073106">
      <w:pPr>
        <w:numPr>
          <w:ilvl w:val="0"/>
          <w:numId w:val="1"/>
        </w:numPr>
      </w:pPr>
      <w:r w:rsidRPr="00396F76">
        <w:rPr>
          <w:b/>
          <w:bCs/>
        </w:rPr>
        <w:t>Rate Limiting &amp; Throttling:</w:t>
      </w:r>
    </w:p>
    <w:p w14:paraId="30C3F886" w14:textId="77777777" w:rsidR="00073106" w:rsidRPr="00396F76" w:rsidRDefault="00073106" w:rsidP="00073106">
      <w:pPr>
        <w:numPr>
          <w:ilvl w:val="1"/>
          <w:numId w:val="1"/>
        </w:numPr>
      </w:pPr>
      <w:r w:rsidRPr="00396F76">
        <w:t>E.g., 100 requests per minute per token</w:t>
      </w:r>
    </w:p>
    <w:p w14:paraId="6921EA58" w14:textId="77777777" w:rsidR="00073106" w:rsidRPr="00396F76" w:rsidRDefault="00073106" w:rsidP="00073106">
      <w:pPr>
        <w:numPr>
          <w:ilvl w:val="1"/>
          <w:numId w:val="1"/>
        </w:numPr>
      </w:pPr>
      <w:r w:rsidRPr="00396F76">
        <w:t>Retry-after headers and quota exceeded messages</w:t>
      </w:r>
    </w:p>
    <w:p w14:paraId="55281E9D" w14:textId="77777777" w:rsidR="00073106" w:rsidRPr="00396F76" w:rsidRDefault="00073106" w:rsidP="00073106">
      <w:pPr>
        <w:numPr>
          <w:ilvl w:val="0"/>
          <w:numId w:val="1"/>
        </w:numPr>
      </w:pPr>
      <w:r w:rsidRPr="00396F76">
        <w:rPr>
          <w:b/>
          <w:bCs/>
        </w:rPr>
        <w:t>Versioning Strategy:</w:t>
      </w:r>
    </w:p>
    <w:p w14:paraId="7F2B5568" w14:textId="77777777" w:rsidR="00073106" w:rsidRPr="00396F76" w:rsidRDefault="00073106" w:rsidP="00073106">
      <w:pPr>
        <w:numPr>
          <w:ilvl w:val="1"/>
          <w:numId w:val="1"/>
        </w:numPr>
      </w:pPr>
      <w:r w:rsidRPr="00396F76">
        <w:t>/v1/, /v2/ URL structure</w:t>
      </w:r>
    </w:p>
    <w:p w14:paraId="3C7877F5" w14:textId="77777777" w:rsidR="00073106" w:rsidRPr="00396F76" w:rsidRDefault="00073106" w:rsidP="00073106">
      <w:pPr>
        <w:numPr>
          <w:ilvl w:val="1"/>
          <w:numId w:val="1"/>
        </w:numPr>
      </w:pPr>
      <w:r w:rsidRPr="00396F76">
        <w:t>Deprecation timelines and notices</w:t>
      </w:r>
    </w:p>
    <w:p w14:paraId="749ED189" w14:textId="77777777" w:rsidR="00073106" w:rsidRPr="00396F76" w:rsidRDefault="00073106" w:rsidP="00073106">
      <w:pPr>
        <w:numPr>
          <w:ilvl w:val="0"/>
          <w:numId w:val="1"/>
        </w:numPr>
      </w:pPr>
      <w:r w:rsidRPr="00396F76">
        <w:rPr>
          <w:b/>
          <w:bCs/>
        </w:rPr>
        <w:t>Integration Contracts:</w:t>
      </w:r>
    </w:p>
    <w:p w14:paraId="0BD96551" w14:textId="77777777" w:rsidR="00073106" w:rsidRPr="00396F76" w:rsidRDefault="00073106" w:rsidP="00073106">
      <w:pPr>
        <w:numPr>
          <w:ilvl w:val="1"/>
          <w:numId w:val="1"/>
        </w:numPr>
      </w:pPr>
      <w:r w:rsidRPr="00396F76">
        <w:t>Agreements between client systems (e.g., government registry, MNO, NGO dashboards)</w:t>
      </w:r>
    </w:p>
    <w:p w14:paraId="2E10814F" w14:textId="77777777" w:rsidR="00073106" w:rsidRPr="00396F76" w:rsidRDefault="00073106" w:rsidP="00073106">
      <w:pPr>
        <w:numPr>
          <w:ilvl w:val="1"/>
          <w:numId w:val="1"/>
        </w:numPr>
      </w:pPr>
      <w:r w:rsidRPr="00396F76">
        <w:t>Defines data ownership, update frequency, fallback logic</w:t>
      </w:r>
    </w:p>
    <w:p w14:paraId="4A3D85F8" w14:textId="77777777" w:rsidR="00073106" w:rsidRPr="00396F76" w:rsidRDefault="00073106" w:rsidP="00073106">
      <w:pPr>
        <w:numPr>
          <w:ilvl w:val="1"/>
          <w:numId w:val="1"/>
        </w:numPr>
      </w:pPr>
      <w:r w:rsidRPr="00396F76">
        <w:t>Includes SLAs (uptime, support, escalation)</w:t>
      </w:r>
    </w:p>
    <w:p w14:paraId="354965DE" w14:textId="77777777" w:rsidR="00DE38F6" w:rsidRDefault="00DE38F6" w:rsidP="0007310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0004F"/>
    <w:multiLevelType w:val="multilevel"/>
    <w:tmpl w:val="E8F4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37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06"/>
    <w:rsid w:val="00073106"/>
    <w:rsid w:val="00180A00"/>
    <w:rsid w:val="0028578E"/>
    <w:rsid w:val="00463A21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2C00"/>
  <w15:chartTrackingRefBased/>
  <w15:docId w15:val="{874DEDDF-97F4-4920-A471-1297AE51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06"/>
  </w:style>
  <w:style w:type="paragraph" w:styleId="Heading1">
    <w:name w:val="heading 1"/>
    <w:basedOn w:val="Normal"/>
    <w:next w:val="Normal"/>
    <w:link w:val="Heading1Char"/>
    <w:uiPriority w:val="9"/>
    <w:qFormat/>
    <w:rsid w:val="00073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1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1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1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1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1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1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1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1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1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1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2025-08-02T15:33:00Z</dcterms:created>
  <dcterms:modified xsi:type="dcterms:W3CDTF">2025-08-02T15:35:00Z</dcterms:modified>
</cp:coreProperties>
</file>