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01708">
      <w:pPr>
        <w:pStyle w:val="2"/>
      </w:pPr>
      <w:r>
        <w:t xml:space="preserve">Cybersecurity Strategy </w:t>
      </w:r>
    </w:p>
    <w:p w14:paraId="72176611">
      <w:pPr>
        <w:rPr>
          <w:rFonts w:hint="default"/>
          <w:b/>
          <w:bCs/>
          <w:lang w:val="en-US"/>
        </w:rPr>
      </w:pPr>
      <w:r>
        <w:rPr>
          <w:rFonts w:hint="default"/>
          <w:b/>
          <w:bCs/>
          <w:lang w:val="en-US"/>
        </w:rPr>
        <w:t xml:space="preserve">Digital customer service portal project </w:t>
      </w:r>
    </w:p>
    <w:p w14:paraId="0FE562E6">
      <w:pPr>
        <w:rPr>
          <w:rFonts w:hint="default"/>
          <w:b/>
          <w:bCs/>
          <w:lang w:val="en-US"/>
        </w:rPr>
      </w:pPr>
      <w:r>
        <w:rPr>
          <w:rFonts w:hint="default"/>
          <w:b/>
          <w:bCs/>
          <w:lang w:val="en-US"/>
        </w:rPr>
        <w:t>Sep-Dec 2024</w:t>
      </w:r>
    </w:p>
    <w:p w14:paraId="036FF164">
      <w:pPr>
        <w:pStyle w:val="3"/>
      </w:pPr>
      <w:r>
        <w:t>1. Project Context</w:t>
      </w:r>
    </w:p>
    <w:p w14:paraId="30AD4F37">
      <w:r>
        <w:br w:type="textWrapping"/>
      </w:r>
      <w:r>
        <w:t>Objective: To design and implement a centralized web-based platform enabling customers to access services, submit queries, track requests, and receive automated support.</w:t>
      </w:r>
      <w:r>
        <w:br w:type="textWrapping"/>
      </w:r>
      <w:r>
        <w:t>The system processes sensitive customer data and integrates with backend systems, requiring a robust cybersecurity strategy to ensure confidentiality, integrity, and availability of data.</w:t>
      </w:r>
      <w:r>
        <w:br w:type="textWrapping"/>
      </w:r>
    </w:p>
    <w:p w14:paraId="17B8DE6E">
      <w:pPr>
        <w:pStyle w:val="3"/>
      </w:pPr>
      <w:r>
        <w:t>2. Cybersecurity Strategy Overview</w:t>
      </w:r>
    </w:p>
    <w:p w14:paraId="4AB18BF3">
      <w:r>
        <w:br w:type="textWrapping"/>
      </w:r>
      <w:r>
        <w:t>The cybersecurity strategy provides the framework for protecting the Digital Customer Service Portal from internal and external threats. It includes preventive, detective, and corrective controls aligned with organizational risk appetite and industry standards such as ISO 27001 and NIST Cybersecurity Framework.</w:t>
      </w:r>
      <w:r>
        <w:br w:type="textWrapping"/>
      </w:r>
    </w:p>
    <w:p w14:paraId="69A00776">
      <w:pPr>
        <w:pStyle w:val="3"/>
      </w:pPr>
      <w:r>
        <w:t>3. Objectives of the Cybersecurity Strategy</w:t>
      </w:r>
    </w:p>
    <w:p w14:paraId="0020521C">
      <w:pPr>
        <w:pStyle w:val="23"/>
      </w:pPr>
      <w:r>
        <w:t>Safeguard customer and organizational data from unauthorized access or loss.</w:t>
      </w:r>
    </w:p>
    <w:p w14:paraId="5B9181E2">
      <w:pPr>
        <w:pStyle w:val="23"/>
      </w:pPr>
      <w:r>
        <w:t>Maintain system integrity through secure development practices.</w:t>
      </w:r>
    </w:p>
    <w:p w14:paraId="5DAF4CB6">
      <w:pPr>
        <w:pStyle w:val="23"/>
      </w:pPr>
      <w:r>
        <w:t>Ensure high availability and reliability of services.</w:t>
      </w:r>
    </w:p>
    <w:p w14:paraId="0F984B2D">
      <w:pPr>
        <w:pStyle w:val="23"/>
      </w:pPr>
      <w:r>
        <w:t>Promote user trust and regulatory compliance.</w:t>
      </w:r>
    </w:p>
    <w:p w14:paraId="000DB036">
      <w:pPr>
        <w:pStyle w:val="23"/>
      </w:pPr>
      <w:r>
        <w:t>Establish an incident response and recovery mechanism.</w:t>
      </w:r>
    </w:p>
    <w:p w14:paraId="097ED9A6">
      <w:pPr>
        <w:pStyle w:val="3"/>
      </w:pPr>
      <w:r>
        <w:t>4. Cybersecurity Governance Structure</w:t>
      </w:r>
    </w:p>
    <w:p w14:paraId="32F9B20D">
      <w:r>
        <w:t>Chief Information Security Officer (CISO): Overall accountability for cybersecurity policies and compliance.</w:t>
      </w:r>
    </w:p>
    <w:p w14:paraId="73810F34">
      <w:r>
        <w:t>Project Manager: Ensures security is embedded in project planning and execution.</w:t>
      </w:r>
    </w:p>
    <w:p w14:paraId="5ECC696F">
      <w:r>
        <w:t>System Administrator: Implements and monitors security configurations.</w:t>
      </w:r>
    </w:p>
    <w:p w14:paraId="4970021E">
      <w:r>
        <w:t>Security Analyst: Performs risk assessments, vulnerability testing, and monitoring.</w:t>
      </w:r>
    </w:p>
    <w:p w14:paraId="74546370">
      <w:r>
        <w:t>Developers: Follow secure coding practices and conduct code reviews.</w:t>
      </w:r>
    </w:p>
    <w:p w14:paraId="2CE18195">
      <w:r>
        <w:t>End Users: Comply with acceptable use and password policies.</w:t>
      </w:r>
    </w:p>
    <w:p w14:paraId="27E45937">
      <w:pPr>
        <w:pStyle w:val="3"/>
      </w:pPr>
      <w:r>
        <w:t>5. Threat Landscape</w:t>
      </w:r>
    </w:p>
    <w:p w14:paraId="09BC3D77">
      <w:pPr>
        <w:pStyle w:val="23"/>
      </w:pPr>
      <w:r>
        <w:t>Phishing and social engineering targeting support staff and users.</w:t>
      </w:r>
    </w:p>
    <w:p w14:paraId="37A085CD">
      <w:pPr>
        <w:pStyle w:val="23"/>
      </w:pPr>
      <w:r>
        <w:t>Malware or ransomware attacks compromising system availability.</w:t>
      </w:r>
    </w:p>
    <w:p w14:paraId="2B9D3156">
      <w:pPr>
        <w:pStyle w:val="23"/>
      </w:pPr>
      <w:r>
        <w:t>Data breaches due to misconfigured databases or APIs.</w:t>
      </w:r>
    </w:p>
    <w:p w14:paraId="47A6E61E">
      <w:pPr>
        <w:pStyle w:val="23"/>
      </w:pPr>
      <w:r>
        <w:t>Distributed Denial-of-Service (DDoS) attacks.</w:t>
      </w:r>
    </w:p>
    <w:p w14:paraId="4313A960">
      <w:pPr>
        <w:pStyle w:val="23"/>
      </w:pPr>
      <w:r>
        <w:t>Insider threats through unauthorized access or data misuse.</w:t>
      </w:r>
    </w:p>
    <w:p w14:paraId="75CF0C1B">
      <w:pPr>
        <w:pStyle w:val="3"/>
      </w:pPr>
      <w:r>
        <w:t>6. Security Controls</w:t>
      </w:r>
    </w:p>
    <w:p w14:paraId="024770FC">
      <w:pPr>
        <w:pStyle w:val="4"/>
      </w:pPr>
      <w:r>
        <w:t>6.1 Preventive Controls</w:t>
      </w:r>
    </w:p>
    <w:p w14:paraId="22451AB4">
      <w:pPr>
        <w:pStyle w:val="23"/>
      </w:pPr>
      <w:r>
        <w:t>Strong password policy and multifactor authentication (MFA).</w:t>
      </w:r>
    </w:p>
    <w:p w14:paraId="170085A8">
      <w:pPr>
        <w:pStyle w:val="23"/>
      </w:pPr>
      <w:r>
        <w:t>Network firewalls and intrusion prevention systems (IPS).</w:t>
      </w:r>
    </w:p>
    <w:p w14:paraId="07AECC78">
      <w:pPr>
        <w:pStyle w:val="23"/>
      </w:pPr>
      <w:r>
        <w:t>Secure socket layer (SSL/TLS) for encrypted data transmission.</w:t>
      </w:r>
    </w:p>
    <w:p w14:paraId="7381C029">
      <w:pPr>
        <w:pStyle w:val="23"/>
      </w:pPr>
      <w:r>
        <w:t>Regular software patching and system updates.</w:t>
      </w:r>
    </w:p>
    <w:p w14:paraId="61743BF1">
      <w:pPr>
        <w:pStyle w:val="23"/>
      </w:pPr>
      <w:r>
        <w:t>Least privilege principle for user access rights.</w:t>
      </w:r>
    </w:p>
    <w:p w14:paraId="2274B27F">
      <w:pPr>
        <w:pStyle w:val="4"/>
      </w:pPr>
      <w:r>
        <w:t>6.2 Detective Controls</w:t>
      </w:r>
    </w:p>
    <w:p w14:paraId="543CE3F2">
      <w:pPr>
        <w:pStyle w:val="23"/>
      </w:pPr>
      <w:r>
        <w:t>Security Information and Event Management (SIEM) system for real-time monitoring.</w:t>
      </w:r>
    </w:p>
    <w:p w14:paraId="01BE28D3">
      <w:pPr>
        <w:pStyle w:val="23"/>
      </w:pPr>
      <w:r>
        <w:t>Automated intrusion detection systems (IDS).</w:t>
      </w:r>
    </w:p>
    <w:p w14:paraId="1C58887A">
      <w:pPr>
        <w:pStyle w:val="23"/>
      </w:pPr>
      <w:r>
        <w:t>Regular vulnerability scanning and penetration testing.</w:t>
      </w:r>
    </w:p>
    <w:p w14:paraId="5E76DBF9">
      <w:pPr>
        <w:pStyle w:val="23"/>
      </w:pPr>
      <w:r>
        <w:t>Log analysis for suspicious activities.</w:t>
      </w:r>
    </w:p>
    <w:p w14:paraId="57CE02CF">
      <w:pPr>
        <w:pStyle w:val="4"/>
      </w:pPr>
      <w:r>
        <w:t>6.3 Corrective Controls</w:t>
      </w:r>
    </w:p>
    <w:p w14:paraId="2CEDA8E1">
      <w:pPr>
        <w:pStyle w:val="23"/>
      </w:pPr>
      <w:r>
        <w:t>Automated backup and restore solutions.</w:t>
      </w:r>
    </w:p>
    <w:p w14:paraId="68C966D7">
      <w:pPr>
        <w:pStyle w:val="23"/>
      </w:pPr>
      <w:r>
        <w:t>Incident response plan with defined escalation procedures.</w:t>
      </w:r>
    </w:p>
    <w:p w14:paraId="07BF49A6">
      <w:pPr>
        <w:pStyle w:val="23"/>
      </w:pPr>
      <w:r>
        <w:t>Patch management and vulnerability remediation.</w:t>
      </w:r>
    </w:p>
    <w:p w14:paraId="57F5A7D7">
      <w:pPr>
        <w:pStyle w:val="23"/>
      </w:pPr>
      <w:r>
        <w:t>Post-incident analysis and lessons learned documentation.</w:t>
      </w:r>
    </w:p>
    <w:p w14:paraId="1B03C624">
      <w:pPr>
        <w:pStyle w:val="3"/>
      </w:pPr>
      <w:r>
        <w:t>7. Data Protection Measures</w:t>
      </w:r>
    </w:p>
    <w:p w14:paraId="25E2C087">
      <w:pPr>
        <w:pStyle w:val="23"/>
      </w:pPr>
      <w:r>
        <w:t>Data encryption at rest using AES-256 and in transit using TLS 1.3.</w:t>
      </w:r>
    </w:p>
    <w:p w14:paraId="53830483">
      <w:pPr>
        <w:pStyle w:val="23"/>
      </w:pPr>
      <w:r>
        <w:t>Tokenization of sensitive customer identifiers.</w:t>
      </w:r>
    </w:p>
    <w:p w14:paraId="089B3158">
      <w:pPr>
        <w:pStyle w:val="23"/>
      </w:pPr>
      <w:r>
        <w:t>Regular access control reviews and privilege audits.</w:t>
      </w:r>
    </w:p>
    <w:p w14:paraId="606E9A13">
      <w:pPr>
        <w:pStyle w:val="23"/>
      </w:pPr>
      <w:r>
        <w:t>Secure API management and input validation.</w:t>
      </w:r>
    </w:p>
    <w:p w14:paraId="268E07D8">
      <w:pPr>
        <w:pStyle w:val="23"/>
      </w:pPr>
      <w:r>
        <w:t>Data anonymization for analytics and reporting purposes.</w:t>
      </w:r>
    </w:p>
    <w:p w14:paraId="7A0384C7">
      <w:pPr>
        <w:pStyle w:val="3"/>
      </w:pPr>
      <w:r>
        <w:t>8. Security Awareness and Training</w:t>
      </w:r>
    </w:p>
    <w:p w14:paraId="304D09E0">
      <w:r>
        <w:br w:type="textWrapping"/>
      </w:r>
      <w:r>
        <w:t>All staff and contractors will undergo mandatory cybersecurity awareness training. Topics include phishing detection, password hygiene, secure data handling, and incident reporting procedures. Continuous awareness campaigns will reinforce secure behaviors.</w:t>
      </w:r>
      <w:r>
        <w:br w:type="textWrapping"/>
      </w:r>
    </w:p>
    <w:p w14:paraId="7E7449BB">
      <w:pPr>
        <w:pStyle w:val="3"/>
      </w:pPr>
      <w:r>
        <w:t>9. Incident Response and Recovery</w:t>
      </w:r>
    </w:p>
    <w:p w14:paraId="18107F85">
      <w:pPr>
        <w:pStyle w:val="23"/>
      </w:pPr>
      <w:r>
        <w:t>Identification – Detect and classify security incidents.</w:t>
      </w:r>
    </w:p>
    <w:p w14:paraId="787C1DF5">
      <w:pPr>
        <w:pStyle w:val="23"/>
      </w:pPr>
      <w:r>
        <w:t>Containment – Isolate affected systems to prevent further impact.</w:t>
      </w:r>
    </w:p>
    <w:p w14:paraId="1D37BD31">
      <w:pPr>
        <w:pStyle w:val="23"/>
      </w:pPr>
      <w:r>
        <w:t>Eradication – Remove the root cause of the incident.</w:t>
      </w:r>
    </w:p>
    <w:p w14:paraId="421AE20B">
      <w:pPr>
        <w:pStyle w:val="23"/>
      </w:pPr>
      <w:r>
        <w:t>Recovery – Restore services from backups or redundant systems.</w:t>
      </w:r>
    </w:p>
    <w:p w14:paraId="6F42A9D7">
      <w:pPr>
        <w:pStyle w:val="23"/>
      </w:pPr>
      <w:r>
        <w:t>Lessons Learned – Conduct post-incident reviews and update policies.</w:t>
      </w:r>
    </w:p>
    <w:p w14:paraId="2CE21E31">
      <w:pPr>
        <w:pStyle w:val="3"/>
      </w:pPr>
      <w:r>
        <w:t>10. Compliance and Risk Management</w:t>
      </w:r>
    </w:p>
    <w:p w14:paraId="037FDF60">
      <w:r>
        <w:br w:type="textWrapping"/>
      </w:r>
      <w:r>
        <w:t>The strategy aligns with the Kenya Data Protection Act (2019), ISO/IEC 27001, and NIST Cybersecurity Framework. Risk management follows a cyclical process of identification, assessment, mitigation, and monitoring. Quarterly audits will verify adherence to security policies.</w:t>
      </w:r>
      <w:r>
        <w:br w:type="textWrapping"/>
      </w:r>
    </w:p>
    <w:p w14:paraId="4E8428E8">
      <w:pPr>
        <w:pStyle w:val="3"/>
      </w:pPr>
      <w:r>
        <w:t>11. Monitoring and Reporting</w:t>
      </w:r>
    </w:p>
    <w:p w14:paraId="109C25D1">
      <w:bookmarkStart w:id="0" w:name="_GoBack"/>
      <w:bookmarkEnd w:id="0"/>
      <w:r>
        <w:br w:type="textWrapping"/>
      </w:r>
      <w:r>
        <w:t>Continuous monitoring tools will track system health, intrusion attempts, and policy compliance. Monthly security reports will be reviewed by the Cybersecurity Committee and the Project Manager to ensure transparency and accountability.</w:t>
      </w:r>
      <w:r>
        <w:br w:type="textWrapping"/>
      </w:r>
    </w:p>
    <w:p w14:paraId="641A20A8">
      <w:pPr>
        <w:pStyle w:val="3"/>
      </w:pPr>
      <w:r>
        <w:t>12. Future Enhancements</w:t>
      </w:r>
    </w:p>
    <w:p w14:paraId="698B6666">
      <w:pPr>
        <w:pStyle w:val="23"/>
      </w:pPr>
      <w:r>
        <w:t>Integrate AI-based threat detection and predictive analytics.</w:t>
      </w:r>
    </w:p>
    <w:p w14:paraId="2921C128">
      <w:pPr>
        <w:pStyle w:val="23"/>
      </w:pPr>
      <w:r>
        <w:t>Adopt Zero Trust Architecture principles.</w:t>
      </w:r>
    </w:p>
    <w:p w14:paraId="2FB58C98">
      <w:pPr>
        <w:pStyle w:val="23"/>
      </w:pPr>
      <w:r>
        <w:t>Enhance cloud security through multi-region redundancy.</w:t>
      </w:r>
    </w:p>
    <w:p w14:paraId="750F88D2">
      <w:pPr>
        <w:pStyle w:val="23"/>
      </w:pPr>
      <w:r>
        <w:t>Implement automated compliance reporting dashboards.</w:t>
      </w:r>
    </w:p>
    <w:p w14:paraId="2394AF0C">
      <w:pPr>
        <w:pStyle w:val="3"/>
      </w:pPr>
      <w:r>
        <w:t>13. Conclusion</w:t>
      </w:r>
    </w:p>
    <w:p w14:paraId="669A20FA">
      <w:r>
        <w:br w:type="textWrapping"/>
      </w:r>
      <w:r>
        <w:t>This Cybersecurity Strategy ensures that the Digital Customer Service Portal maintains a strong security posture throughout its lifecycle. By applying layered defenses, strict governance, and continuous monitoring, the system will achieve resilience against evolving cyber threats and sustain user trust and operational continuity.</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18411E"/>
    <w:rsid w:val="383E32D2"/>
    <w:rsid w:val="39224F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2025-11-09T08:31:14Z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EEA21C15E62742C1A6EE017E565D0DDD_13</vt:lpwstr>
  </property>
</Properties>
</file>