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D9DA1">
      <w:pPr>
        <w:pStyle w:val="2"/>
      </w:pPr>
      <w:r>
        <w:t>Data Governance Framework</w:t>
      </w:r>
    </w:p>
    <w:p w14:paraId="72176611">
      <w:pPr>
        <w:rPr>
          <w:rFonts w:hint="default"/>
          <w:b/>
          <w:bCs/>
          <w:lang w:val="en-US"/>
        </w:rPr>
      </w:pPr>
      <w:r>
        <w:rPr>
          <w:rFonts w:hint="default"/>
          <w:b/>
          <w:bCs/>
          <w:lang w:val="en-US"/>
        </w:rPr>
        <w:t xml:space="preserve">Digital customer service portal project </w:t>
      </w:r>
    </w:p>
    <w:p w14:paraId="0FE562E6">
      <w:pPr>
        <w:rPr>
          <w:rFonts w:hint="default"/>
          <w:b/>
          <w:bCs/>
          <w:lang w:val="en-US"/>
        </w:rPr>
      </w:pPr>
      <w:r>
        <w:rPr>
          <w:rFonts w:hint="default"/>
          <w:b/>
          <w:bCs/>
          <w:lang w:val="en-US"/>
        </w:rPr>
        <w:t>Sep-Dec 2024</w:t>
      </w:r>
    </w:p>
    <w:p w14:paraId="676E1C73">
      <w:pPr>
        <w:pStyle w:val="3"/>
      </w:pPr>
      <w:bookmarkStart w:id="0" w:name="_GoBack"/>
      <w:bookmarkEnd w:id="0"/>
      <w:r>
        <w:t>1. Project Context</w:t>
      </w:r>
    </w:p>
    <w:p w14:paraId="4298957E">
      <w:r>
        <w:br w:type="textWrapping"/>
      </w:r>
      <w:r>
        <w:t>Objective: To design and implement a centralized web-based platform enabling customers to access services, submit queries, track requests, and receive automated support.</w:t>
      </w:r>
      <w:r>
        <w:br w:type="textWrapping"/>
      </w:r>
      <w:r>
        <w:br w:type="textWrapping"/>
      </w:r>
      <w:r>
        <w:t>The portal handles sensitive customer data (names, contacts, service history, feedback, and support tickets). Therefore, a Data Governance Framework is essential to ensure data quality, security, compliance, and accountability.</w:t>
      </w:r>
      <w:r>
        <w:br w:type="textWrapping"/>
      </w:r>
    </w:p>
    <w:p w14:paraId="48B0154E">
      <w:pPr>
        <w:pStyle w:val="3"/>
      </w:pPr>
      <w:r>
        <w:t>2. Data Governance Framework Overview</w:t>
      </w:r>
    </w:p>
    <w:p w14:paraId="7421CBEF">
      <w:r>
        <w:br w:type="textWrapping"/>
      </w:r>
      <w:r>
        <w:t>A Data Governance Framework defines the policies, roles, processes, standards, and metrics that ensure effective and secure use of data across the system lifecycle.</w:t>
      </w:r>
      <w:r>
        <w:br w:type="textWrapping"/>
      </w:r>
    </w:p>
    <w:p w14:paraId="54CADAC6">
      <w:r>
        <w:t>Core Pillars:</w:t>
      </w:r>
    </w:p>
    <w:p w14:paraId="4786DFFD">
      <w:pPr>
        <w:pStyle w:val="23"/>
      </w:pPr>
      <w:r>
        <w:t>Data Ownership and Accountability</w:t>
      </w:r>
    </w:p>
    <w:p w14:paraId="36AA1D69">
      <w:pPr>
        <w:pStyle w:val="23"/>
      </w:pPr>
      <w:r>
        <w:t>Data Quality Management</w:t>
      </w:r>
    </w:p>
    <w:p w14:paraId="3D941DD3">
      <w:pPr>
        <w:pStyle w:val="23"/>
      </w:pPr>
      <w:r>
        <w:t>Data Privacy and Security</w:t>
      </w:r>
    </w:p>
    <w:p w14:paraId="6EEF7184">
      <w:pPr>
        <w:pStyle w:val="23"/>
      </w:pPr>
      <w:r>
        <w:t>Data Lifecycle Management</w:t>
      </w:r>
    </w:p>
    <w:p w14:paraId="7B8C7CD4">
      <w:pPr>
        <w:pStyle w:val="23"/>
      </w:pPr>
      <w:r>
        <w:t>Compliance and Risk Management</w:t>
      </w:r>
    </w:p>
    <w:p w14:paraId="46442C8F">
      <w:pPr>
        <w:pStyle w:val="23"/>
      </w:pPr>
      <w:r>
        <w:t>Metadata and Master Data Management</w:t>
      </w:r>
    </w:p>
    <w:p w14:paraId="45C3322E">
      <w:pPr>
        <w:pStyle w:val="23"/>
      </w:pPr>
      <w:r>
        <w:t>Performance Monitoring and Continuous Improvement</w:t>
      </w:r>
    </w:p>
    <w:p w14:paraId="088EC596">
      <w:pPr>
        <w:pStyle w:val="4"/>
      </w:pPr>
      <w:r>
        <w:t>3.1 Data Governance Objectives</w:t>
      </w:r>
    </w:p>
    <w:p w14:paraId="546CE987">
      <w:pPr>
        <w:pStyle w:val="23"/>
      </w:pPr>
      <w:r>
        <w:t>Ensure accuracy, consistency, and completeness of customer data.</w:t>
      </w:r>
    </w:p>
    <w:p w14:paraId="5D2202D2">
      <w:pPr>
        <w:pStyle w:val="23"/>
      </w:pPr>
      <w:r>
        <w:t>Protect customer data against unauthorized access or misuse.</w:t>
      </w:r>
    </w:p>
    <w:p w14:paraId="05F979F0">
      <w:pPr>
        <w:pStyle w:val="23"/>
      </w:pPr>
      <w:r>
        <w:t>Comply with data protection regulations (e.g., GDPR, Kenya Data Protection Act 2019).</w:t>
      </w:r>
    </w:p>
    <w:p w14:paraId="3774C210">
      <w:pPr>
        <w:pStyle w:val="23"/>
      </w:pPr>
      <w:r>
        <w:t>Enable data-driven service delivery and performance reporting.</w:t>
      </w:r>
    </w:p>
    <w:p w14:paraId="26BB7DA7">
      <w:pPr>
        <w:pStyle w:val="23"/>
      </w:pPr>
      <w:r>
        <w:t>Foster accountability among data handlers.</w:t>
      </w:r>
    </w:p>
    <w:p w14:paraId="09E3C651">
      <w:pPr>
        <w:pStyle w:val="4"/>
      </w:pPr>
      <w:r>
        <w:t>3.2 Data Governance Structure</w:t>
      </w:r>
    </w:p>
    <w:p w14:paraId="1E12541E">
      <w:r>
        <w:t>Data Governance Committee (DGC): Oversight, policy approval, and compliance review.</w:t>
      </w:r>
    </w:p>
    <w:p w14:paraId="7B715E43">
      <w:r>
        <w:t>Data Steward: Maintains data quality and ensures adherence to standards.</w:t>
      </w:r>
    </w:p>
    <w:p w14:paraId="506BFA69">
      <w:r>
        <w:t>System Administrator: Implements access controls and monitors security incidents.</w:t>
      </w:r>
    </w:p>
    <w:p w14:paraId="29F34650">
      <w:r>
        <w:t>Data Owner (Department Head): Defines business rules and authorizes data usage.</w:t>
      </w:r>
    </w:p>
    <w:p w14:paraId="684DD5B3">
      <w:r>
        <w:t>Developers / IT Team: Enforce data governance requirements in system design.</w:t>
      </w:r>
    </w:p>
    <w:p w14:paraId="296DCA81">
      <w:r>
        <w:t>End Users: Responsible for accurate data input and responsible use of information.</w:t>
      </w:r>
    </w:p>
    <w:p w14:paraId="6108FEE1">
      <w:pPr>
        <w:pStyle w:val="4"/>
      </w:pPr>
      <w:r>
        <w:t>3.3 Data Classification</w:t>
      </w:r>
    </w:p>
    <w:p w14:paraId="0AA0E915">
      <w:r>
        <w:br w:type="textWrapping"/>
      </w:r>
      <w:r>
        <w:t>Personal Data – Confidential – Encryption + access control</w:t>
      </w:r>
      <w:r>
        <w:br w:type="textWrapping"/>
      </w:r>
      <w:r>
        <w:t>Transactional Data – Internal – Access based on user roles</w:t>
      </w:r>
      <w:r>
        <w:br w:type="textWrapping"/>
      </w:r>
      <w:r>
        <w:t>Analytical Data – Restricted – Aggregated and anonymized</w:t>
      </w:r>
      <w:r>
        <w:br w:type="textWrapping"/>
      </w:r>
      <w:r>
        <w:t>System Logs – Internal – Monitored and retained for 12 months</w:t>
      </w:r>
      <w:r>
        <w:br w:type="textWrapping"/>
      </w:r>
    </w:p>
    <w:p w14:paraId="445A7D4C">
      <w:pPr>
        <w:pStyle w:val="4"/>
      </w:pPr>
      <w:r>
        <w:t>3.4 Data Quality Management</w:t>
      </w:r>
    </w:p>
    <w:p w14:paraId="273462EA">
      <w:r>
        <w:br w:type="textWrapping"/>
      </w:r>
      <w:r>
        <w:t>Quality dimensions include accuracy, completeness, consistency, timeliness, and integrity. Control measures include validation rules, mandatory field checks, standardized schema, automated updates, and transaction backups.</w:t>
      </w:r>
      <w:r>
        <w:br w:type="textWrapping"/>
      </w:r>
    </w:p>
    <w:p w14:paraId="346623B7">
      <w:pPr>
        <w:pStyle w:val="4"/>
      </w:pPr>
      <w:r>
        <w:t>3.5 Data Privacy and Security</w:t>
      </w:r>
    </w:p>
    <w:p w14:paraId="3AC021D3">
      <w:pPr>
        <w:pStyle w:val="23"/>
      </w:pPr>
      <w:r>
        <w:t>Role-based access control (RBAC)</w:t>
      </w:r>
    </w:p>
    <w:p w14:paraId="50452073">
      <w:pPr>
        <w:pStyle w:val="23"/>
      </w:pPr>
      <w:r>
        <w:t>Data encryption in transit (HTTPS/TLS) and at rest (AES-256)</w:t>
      </w:r>
    </w:p>
    <w:p w14:paraId="61E537B3">
      <w:pPr>
        <w:pStyle w:val="23"/>
      </w:pPr>
      <w:r>
        <w:t>Audit trails of all user actions</w:t>
      </w:r>
    </w:p>
    <w:p w14:paraId="1B0B5E58">
      <w:pPr>
        <w:pStyle w:val="23"/>
      </w:pPr>
      <w:r>
        <w:t>Incident response plan for breaches</w:t>
      </w:r>
    </w:p>
    <w:p w14:paraId="1B01DBA2">
      <w:pPr>
        <w:pStyle w:val="23"/>
      </w:pPr>
      <w:r>
        <w:t>User consent for data collection and cookies</w:t>
      </w:r>
    </w:p>
    <w:p w14:paraId="53CF0154">
      <w:pPr>
        <w:pStyle w:val="4"/>
      </w:pPr>
      <w:r>
        <w:t>3.6 Data Lifecycle Management</w:t>
      </w:r>
    </w:p>
    <w:p w14:paraId="334B517D">
      <w:pPr>
        <w:pStyle w:val="23"/>
      </w:pPr>
      <w:r>
        <w:t>Creation – validation and consent collection</w:t>
      </w:r>
    </w:p>
    <w:p w14:paraId="741BBF6B">
      <w:pPr>
        <w:pStyle w:val="23"/>
      </w:pPr>
      <w:r>
        <w:t>Storage – encryption and backup</w:t>
      </w:r>
    </w:p>
    <w:p w14:paraId="61943A51">
      <w:pPr>
        <w:pStyle w:val="23"/>
      </w:pPr>
      <w:r>
        <w:t>Usage – monitored access</w:t>
      </w:r>
    </w:p>
    <w:p w14:paraId="331BD407">
      <w:pPr>
        <w:pStyle w:val="23"/>
      </w:pPr>
      <w:r>
        <w:t>Sharing – secured APIs and agreements</w:t>
      </w:r>
    </w:p>
    <w:p w14:paraId="1752AB07">
      <w:pPr>
        <w:pStyle w:val="23"/>
      </w:pPr>
      <w:r>
        <w:t>Archiving – data retention policies</w:t>
      </w:r>
    </w:p>
    <w:p w14:paraId="06537AF0">
      <w:pPr>
        <w:pStyle w:val="23"/>
      </w:pPr>
      <w:r>
        <w:t>Disposal – automated purging and verification logs</w:t>
      </w:r>
    </w:p>
    <w:p w14:paraId="102A0D1E">
      <w:pPr>
        <w:pStyle w:val="4"/>
      </w:pPr>
      <w:r>
        <w:t>3.7 Compliance and Risk Management</w:t>
      </w:r>
    </w:p>
    <w:p w14:paraId="2DF83067">
      <w:r>
        <w:br w:type="textWrapping"/>
      </w:r>
      <w:r>
        <w:t>Compliance with Kenya Data Protection Act (2019) and GDPR principles. Regular audits, vulnerability assessments, and staff training ensure data security and ethical handling.</w:t>
      </w:r>
      <w:r>
        <w:br w:type="textWrapping"/>
      </w:r>
    </w:p>
    <w:p w14:paraId="2F4575F6">
      <w:pPr>
        <w:pStyle w:val="4"/>
      </w:pPr>
      <w:r>
        <w:t>3.8 Metadata and Master Data Management</w:t>
      </w:r>
    </w:p>
    <w:p w14:paraId="2F7A0A26">
      <w:r>
        <w:br w:type="textWrapping"/>
      </w:r>
      <w:r>
        <w:t>Includes maintaining a metadata repository with dataset definitions, centralized master data for customer and service references, and version control for schema changes.</w:t>
      </w:r>
      <w:r>
        <w:br w:type="textWrapping"/>
      </w:r>
    </w:p>
    <w:p w14:paraId="68A0A167">
      <w:pPr>
        <w:pStyle w:val="4"/>
      </w:pPr>
      <w:r>
        <w:t>3.9 Monitoring and Evaluation</w:t>
      </w:r>
    </w:p>
    <w:p w14:paraId="1E06B7A8">
      <w:r>
        <w:br w:type="textWrapping"/>
      </w:r>
      <w:r>
        <w:t>KPIs include data accuracy rate, error correction percentage, number of access violations, and compliance audit scores. Tools include dashboards, automated alerts, and log monitoring systems.</w:t>
      </w:r>
      <w:r>
        <w:br w:type="textWrapping"/>
      </w:r>
    </w:p>
    <w:p w14:paraId="5ABC1EDE">
      <w:pPr>
        <w:pStyle w:val="4"/>
      </w:pPr>
      <w:r>
        <w:t>3.10 Continuous Improvement</w:t>
      </w:r>
    </w:p>
    <w:p w14:paraId="42400FA5">
      <w:r>
        <w:br w:type="textWrapping"/>
      </w:r>
      <w:r>
        <w:t>Regular quarterly reviews, policy updates, user feedback incorporation, and integration with AI-based monitoring tools for proactive governance enhancement.</w:t>
      </w:r>
      <w:r>
        <w:br w:type="textWrapping"/>
      </w:r>
    </w:p>
    <w:p w14:paraId="01A563DD">
      <w:pPr>
        <w:pStyle w:val="3"/>
      </w:pPr>
      <w:r>
        <w:t>4. Expected Benefits</w:t>
      </w:r>
    </w:p>
    <w:p w14:paraId="3792F130">
      <w:pPr>
        <w:pStyle w:val="23"/>
      </w:pPr>
      <w:r>
        <w:t>Improved trust in customer data</w:t>
      </w:r>
    </w:p>
    <w:p w14:paraId="4196A89B">
      <w:pPr>
        <w:pStyle w:val="23"/>
      </w:pPr>
      <w:r>
        <w:t>Regulatory compliance and transparency</w:t>
      </w:r>
    </w:p>
    <w:p w14:paraId="0CB3F386">
      <w:pPr>
        <w:pStyle w:val="23"/>
      </w:pPr>
      <w:r>
        <w:t>Enhanced decision-making through analytics</w:t>
      </w:r>
    </w:p>
    <w:p w14:paraId="03C52DF8">
      <w:pPr>
        <w:pStyle w:val="23"/>
      </w:pPr>
      <w:r>
        <w:t>Better customer experience and service efficiency</w:t>
      </w:r>
    </w:p>
    <w:p w14:paraId="2FABB129">
      <w:pPr>
        <w:pStyle w:val="3"/>
      </w:pPr>
      <w:r>
        <w:t>5. Conclusion</w:t>
      </w:r>
    </w:p>
    <w:p w14:paraId="132D28C6">
      <w:r>
        <w:br w:type="textWrapping"/>
      </w:r>
      <w:r>
        <w:t>The Data Governance Framework ensures that the Digital Customer Service Portal operates on reliable, secure, and compliant data practices. It embeds accountability and transparency into every stage of data handling, turning information into a strategic asset for sustainable service excellence.</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D119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2025-11-09T08:15:04Z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053FC974E6B44EE48A80339CE1FE0524_13</vt:lpwstr>
  </property>
</Properties>
</file>