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3472" w:rsidRPr="007A3472" w:rsidRDefault="007A3472" w:rsidP="007A3472"/>
    <w:p w:rsidR="007A3472" w:rsidRPr="007A3472" w:rsidRDefault="007A3472" w:rsidP="007A3472">
      <w:pPr>
        <w:rPr>
          <w:b/>
          <w:bCs/>
        </w:rPr>
      </w:pPr>
      <w:r w:rsidRPr="007A3472">
        <w:rPr>
          <w:b/>
          <w:bCs/>
        </w:rPr>
        <w:t>High-Level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884"/>
        <w:gridCol w:w="1084"/>
        <w:gridCol w:w="5390"/>
      </w:tblGrid>
      <w:tr w:rsidR="007A3472" w:rsidRPr="007A3472" w:rsidTr="007A34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pPr>
              <w:rPr>
                <w:b/>
                <w:bCs/>
              </w:rPr>
            </w:pPr>
            <w:r w:rsidRPr="007A3472">
              <w:rPr>
                <w:b/>
                <w:bCs/>
              </w:rPr>
              <w:t>Mitigation Strategy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Integration Delays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High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Medium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Conduct early technical feasibility studies; build schedule buffers; allocate skilled integration specialists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Data Privacy Breach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High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Low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Implement strong encryption, regular security audits, strict access controls, and compliance monitoring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User Adoption Resistance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Medium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Medium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Develop comprehensive training and awareness campaigns; gather user feedback; iterative improvements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Budget Overruns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High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Low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Detailed budgeting with contingency reserves; frequent financial reviews and approvals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Technology Failures / Outages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High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Low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Deploy robust, scalable infrastructure; implement disaster recovery and failover plans</w:t>
            </w:r>
          </w:p>
        </w:tc>
      </w:tr>
      <w:tr w:rsidR="007A3472" w:rsidRPr="007A3472" w:rsidTr="007A34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rPr>
                <w:b/>
                <w:bCs/>
              </w:rPr>
              <w:t>Vendor Delays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Medium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Medium</w:t>
            </w:r>
          </w:p>
        </w:tc>
        <w:tc>
          <w:tcPr>
            <w:tcW w:w="0" w:type="auto"/>
            <w:vAlign w:val="center"/>
            <w:hideMark/>
          </w:tcPr>
          <w:p w:rsidR="007A3472" w:rsidRPr="007A3472" w:rsidRDefault="007A3472" w:rsidP="007A3472">
            <w:r w:rsidRPr="007A3472">
              <w:t>Establish clear contracts with penalties; monitor vendor progress regularly; have backup vendor options</w:t>
            </w:r>
          </w:p>
        </w:tc>
      </w:tr>
    </w:tbl>
    <w:p w:rsidR="007A3472" w:rsidRPr="007A3472" w:rsidRDefault="007A3472" w:rsidP="007A3472"/>
    <w:sectPr w:rsidR="007A3472" w:rsidRPr="007A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2"/>
    <w:rsid w:val="00180A00"/>
    <w:rsid w:val="0028578E"/>
    <w:rsid w:val="00752CE7"/>
    <w:rsid w:val="007A3472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BE08F-6B4F-459D-9660-DFC90D0B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2025-07-28T20:13:00Z</dcterms:created>
  <dcterms:modified xsi:type="dcterms:W3CDTF">2025-07-28T20:15:00Z</dcterms:modified>
</cp:coreProperties>
</file>