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A53D6">
      <w:pPr>
        <w:rPr>
          <w:rFonts w:hint="default"/>
          <w:b/>
          <w:bCs/>
          <w:lang w:val="en-US"/>
        </w:rPr>
      </w:pP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>Mobile money platform project</w:t>
      </w:r>
    </w:p>
    <w:p w14:paraId="48902972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33DB1E4">
      <w:pPr>
        <w:rPr>
          <w:b/>
          <w:bCs/>
        </w:rPr>
      </w:pPr>
      <w:r>
        <w:rPr>
          <w:b/>
          <w:bCs/>
        </w:rPr>
        <w:t>Procurement Plan – APIs, Security &amp; Compliance Tools</w:t>
      </w:r>
    </w:p>
    <w:p w14:paraId="131DD780">
      <w:r>
        <w:t>Defines sourcing strategy and evaluation criteria for essential 3rd-party tools in the mobile money ecosystem.</w:t>
      </w:r>
    </w:p>
    <w:p w14:paraId="4683B5C4">
      <w:pPr>
        <w:rPr>
          <w:b/>
          <w:bCs/>
        </w:rPr>
      </w:pPr>
      <w:r>
        <w:rPr>
          <w:b/>
          <w:bCs/>
        </w:rPr>
        <w:t>Key Procurement Categories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8230"/>
      </w:tblGrid>
      <w:tr w14:paraId="7D9100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B24D7A0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13AE9DD8">
            <w:pPr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14:paraId="50A3F6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06BD42">
            <w:r>
              <w:t>APIs</w:t>
            </w:r>
          </w:p>
        </w:tc>
        <w:tc>
          <w:tcPr>
            <w:tcW w:w="0" w:type="auto"/>
            <w:vAlign w:val="center"/>
          </w:tcPr>
          <w:p w14:paraId="31A13BC7">
            <w:r>
              <w:t>Bank APIs, FX rate APIs, Telco account APIs</w:t>
            </w:r>
          </w:p>
        </w:tc>
      </w:tr>
      <w:tr w14:paraId="2D2435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2FBC4C">
            <w:r>
              <w:t>Security</w:t>
            </w:r>
          </w:p>
        </w:tc>
        <w:tc>
          <w:tcPr>
            <w:tcW w:w="0" w:type="auto"/>
            <w:vAlign w:val="center"/>
          </w:tcPr>
          <w:p w14:paraId="674D1D01">
            <w:r>
              <w:t>Encryption libraries (e.g., Vault, HSM), 2FA tools</w:t>
            </w:r>
          </w:p>
        </w:tc>
      </w:tr>
      <w:tr w14:paraId="2DD33F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8040BE">
            <w:r>
              <w:t>Compliance</w:t>
            </w:r>
          </w:p>
        </w:tc>
        <w:tc>
          <w:tcPr>
            <w:tcW w:w="0" w:type="auto"/>
            <w:vAlign w:val="center"/>
          </w:tcPr>
          <w:p w14:paraId="34D23640">
            <w:r>
              <w:t>AML/KYC verification APIs, transaction monitoring engines (e.g., ComplyAdvantage, Refinitiv)</w:t>
            </w:r>
          </w:p>
        </w:tc>
      </w:tr>
    </w:tbl>
    <w:p w14:paraId="202EE8CD">
      <w:pPr>
        <w:rPr>
          <w:b/>
          <w:bCs/>
        </w:rPr>
      </w:pPr>
      <w:r>
        <w:rPr>
          <w:b/>
          <w:bCs/>
        </w:rPr>
        <w:t>Procurement Phases</w:t>
      </w:r>
    </w:p>
    <w:p w14:paraId="7769569D">
      <w:pPr>
        <w:numPr>
          <w:ilvl w:val="0"/>
          <w:numId w:val="1"/>
        </w:numPr>
      </w:pPr>
      <w:r>
        <w:rPr>
          <w:b/>
          <w:bCs/>
        </w:rPr>
        <w:t>Requirements Definition</w:t>
      </w:r>
    </w:p>
    <w:p w14:paraId="74858929">
      <w:pPr>
        <w:numPr>
          <w:ilvl w:val="1"/>
          <w:numId w:val="1"/>
        </w:numPr>
      </w:pPr>
      <w:r>
        <w:t>Functional specs (e.g., real-time KYC verification)</w:t>
      </w:r>
    </w:p>
    <w:p w14:paraId="667549F2">
      <w:pPr>
        <w:numPr>
          <w:ilvl w:val="1"/>
          <w:numId w:val="1"/>
        </w:numPr>
      </w:pPr>
      <w:r>
        <w:t>Regulatory minimums (e.g., GDPR, CBK guidelines)</w:t>
      </w:r>
    </w:p>
    <w:p w14:paraId="7DED9533">
      <w:pPr>
        <w:numPr>
          <w:ilvl w:val="0"/>
          <w:numId w:val="1"/>
        </w:numPr>
      </w:pPr>
      <w:r>
        <w:rPr>
          <w:b/>
          <w:bCs/>
        </w:rPr>
        <w:t>Vendor Evaluation Criteria</w:t>
      </w:r>
    </w:p>
    <w:tbl>
      <w:tblPr>
        <w:tblStyle w:val="12"/>
        <w:tblW w:w="0" w:type="auto"/>
        <w:tblCellSpacing w:w="15" w:type="dxa"/>
        <w:tblInd w:w="7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6"/>
        <w:gridCol w:w="1167"/>
      </w:tblGrid>
      <w:tr w14:paraId="0A2979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8C36DE0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057A194E">
            <w:pPr>
              <w:rPr>
                <w:b/>
                <w:bCs/>
              </w:rPr>
            </w:pPr>
            <w:r>
              <w:rPr>
                <w:b/>
                <w:bCs/>
              </w:rPr>
              <w:t>Weight (%)</w:t>
            </w:r>
          </w:p>
        </w:tc>
      </w:tr>
      <w:tr w14:paraId="18F30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0DE98E">
            <w:r>
              <w:t>Regulatory Certification (PCI-DSS, ISO 27001)</w:t>
            </w:r>
          </w:p>
        </w:tc>
        <w:tc>
          <w:tcPr>
            <w:tcW w:w="0" w:type="auto"/>
            <w:vAlign w:val="center"/>
          </w:tcPr>
          <w:p w14:paraId="5A9A0791">
            <w:r>
              <w:t>30</w:t>
            </w:r>
          </w:p>
        </w:tc>
      </w:tr>
      <w:tr w14:paraId="585A03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7D18C1">
            <w:r>
              <w:t>System Uptime SLA</w:t>
            </w:r>
          </w:p>
        </w:tc>
        <w:tc>
          <w:tcPr>
            <w:tcW w:w="0" w:type="auto"/>
            <w:vAlign w:val="center"/>
          </w:tcPr>
          <w:p w14:paraId="2FE42B17">
            <w:r>
              <w:t>20</w:t>
            </w:r>
          </w:p>
        </w:tc>
      </w:tr>
      <w:tr w14:paraId="3763D5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1B7F32">
            <w:r>
              <w:t>API Response Time (&lt;500ms avg)</w:t>
            </w:r>
          </w:p>
        </w:tc>
        <w:tc>
          <w:tcPr>
            <w:tcW w:w="0" w:type="auto"/>
            <w:vAlign w:val="center"/>
          </w:tcPr>
          <w:p w14:paraId="0E46D2CA">
            <w:r>
              <w:t>15</w:t>
            </w:r>
          </w:p>
        </w:tc>
      </w:tr>
      <w:tr w14:paraId="22108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ADB5CD">
            <w:r>
              <w:t>Cost Structure</w:t>
            </w:r>
          </w:p>
        </w:tc>
        <w:tc>
          <w:tcPr>
            <w:tcW w:w="0" w:type="auto"/>
            <w:vAlign w:val="center"/>
          </w:tcPr>
          <w:p w14:paraId="3CD6E0EA">
            <w:r>
              <w:t>15</w:t>
            </w:r>
          </w:p>
        </w:tc>
      </w:tr>
      <w:tr w14:paraId="18C26C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E56472">
            <w:r>
              <w:t>Local Support Availability</w:t>
            </w:r>
          </w:p>
        </w:tc>
        <w:tc>
          <w:tcPr>
            <w:tcW w:w="0" w:type="auto"/>
            <w:vAlign w:val="center"/>
          </w:tcPr>
          <w:p w14:paraId="0F87CBE2">
            <w:r>
              <w:t>10</w:t>
            </w:r>
          </w:p>
        </w:tc>
      </w:tr>
      <w:tr w14:paraId="657E5E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FD92D4">
            <w:r>
              <w:t>Integration Complexity</w:t>
            </w:r>
          </w:p>
        </w:tc>
        <w:tc>
          <w:tcPr>
            <w:tcW w:w="0" w:type="auto"/>
            <w:vAlign w:val="center"/>
          </w:tcPr>
          <w:p w14:paraId="32A026A8">
            <w:r>
              <w:t>10</w:t>
            </w:r>
          </w:p>
        </w:tc>
      </w:tr>
    </w:tbl>
    <w:p w14:paraId="65EE3330">
      <w:pPr>
        <w:numPr>
          <w:ilvl w:val="0"/>
          <w:numId w:val="1"/>
        </w:numPr>
      </w:pPr>
      <w:r>
        <w:rPr>
          <w:b/>
          <w:bCs/>
        </w:rPr>
        <w:t>RFP/RFQ Process</w:t>
      </w:r>
    </w:p>
    <w:p w14:paraId="5F158964">
      <w:pPr>
        <w:numPr>
          <w:ilvl w:val="1"/>
          <w:numId w:val="1"/>
        </w:numPr>
      </w:pPr>
      <w:r>
        <w:t>Sent to pre-qualified vendors</w:t>
      </w:r>
    </w:p>
    <w:p w14:paraId="450D1107">
      <w:pPr>
        <w:numPr>
          <w:ilvl w:val="1"/>
          <w:numId w:val="1"/>
        </w:numPr>
      </w:pPr>
      <w:r>
        <w:t>NDA &amp; due diligence</w:t>
      </w:r>
    </w:p>
    <w:p w14:paraId="234044DB">
      <w:pPr>
        <w:numPr>
          <w:ilvl w:val="0"/>
          <w:numId w:val="1"/>
        </w:numPr>
      </w:pPr>
      <w:r>
        <w:rPr>
          <w:b/>
          <w:bCs/>
        </w:rPr>
        <w:t>Contracting &amp; Onboarding</w:t>
      </w:r>
    </w:p>
    <w:p w14:paraId="2CC80EDC">
      <w:pPr>
        <w:numPr>
          <w:ilvl w:val="1"/>
          <w:numId w:val="1"/>
        </w:numPr>
      </w:pPr>
      <w:r>
        <w:t>Legal review (compliance clauses, indemnity)</w:t>
      </w:r>
    </w:p>
    <w:p w14:paraId="64F9D775">
      <w:pPr>
        <w:numPr>
          <w:ilvl w:val="1"/>
          <w:numId w:val="1"/>
        </w:numPr>
      </w:pPr>
      <w:r>
        <w:t>Technical onboarding (API keys, sandbox access)</w:t>
      </w:r>
    </w:p>
    <w:p w14:paraId="1FC42353">
      <w:pPr>
        <w:numPr>
          <w:ilvl w:val="1"/>
          <w:numId w:val="1"/>
        </w:numPr>
      </w:pPr>
      <w:r>
        <w:t>SLA and penalties documentation</w:t>
      </w:r>
    </w:p>
    <w:p w14:paraId="02DC35C5">
      <w:pPr>
        <w:numPr>
          <w:ilvl w:val="0"/>
          <w:numId w:val="1"/>
        </w:numPr>
      </w:pPr>
      <w:r>
        <w:rPr>
          <w:b/>
          <w:bCs/>
        </w:rPr>
        <w:t>Ongoing Vendor Monitoring</w:t>
      </w:r>
    </w:p>
    <w:p w14:paraId="6A8A35CC">
      <w:pPr>
        <w:numPr>
          <w:ilvl w:val="1"/>
          <w:numId w:val="1"/>
        </w:numPr>
      </w:pPr>
      <w:r>
        <w:t>Quarterly performance reviews</w:t>
      </w:r>
    </w:p>
    <w:p w14:paraId="7FD80C19">
      <w:pPr>
        <w:numPr>
          <w:ilvl w:val="1"/>
          <w:numId w:val="1"/>
        </w:numPr>
      </w:pPr>
      <w:r>
        <w:t>Compliance audit checkpoints</w:t>
      </w:r>
    </w:p>
    <w:p w14:paraId="61BEB88B">
      <w:pPr>
        <w:numPr>
          <w:ilvl w:val="1"/>
          <w:numId w:val="1"/>
        </w:numPr>
      </w:pPr>
      <w:r>
        <w:t>API deprecation/upgrade notices</w:t>
      </w:r>
    </w:p>
    <w:p w14:paraId="47DECD67"/>
    <w:p w14:paraId="55182AE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F19E1"/>
    <w:multiLevelType w:val="multilevel"/>
    <w:tmpl w:val="0F8F19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E0A"/>
    <w:rsid w:val="00180A00"/>
    <w:rsid w:val="00247E0A"/>
    <w:rsid w:val="0028578E"/>
    <w:rsid w:val="00A35684"/>
    <w:rsid w:val="00D22FF6"/>
    <w:rsid w:val="00DE38F6"/>
    <w:rsid w:val="58D7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180</Words>
  <Characters>1027</Characters>
  <Lines>8</Lines>
  <Paragraphs>2</Paragraphs>
  <TotalTime>1</TotalTime>
  <ScaleCrop>false</ScaleCrop>
  <LinksUpToDate>false</LinksUpToDate>
  <CharactersWithSpaces>1205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2025-07-28T18:05:00Z</dcterms:created>
  <dc:creator>168236-Barbara Malei</dc:creator>
  <cp:lastModifiedBy>ADMIN</cp:lastModifiedBy>
  <dcterms:modified xsi:type="dcterms:W3CDTF">2025-11-09T15:44:59Z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152309FDAE0D47D1A8D5637A93A6B642_12</vt:lpwstr>
  </property>
</Properties>
</file>