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B1D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Regulatory Compliance Summary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FE4D740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77FA99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Regulatory Frameworks and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0"/>
        <w:gridCol w:w="2130"/>
        <w:gridCol w:w="3035"/>
        <w:gridCol w:w="1925"/>
      </w:tblGrid>
      <w:tr w14:paraId="6FFE2E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BBA3F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Regulatory Body</w:t>
            </w:r>
          </w:p>
        </w:tc>
        <w:tc>
          <w:tcPr>
            <w:tcW w:w="0" w:type="auto"/>
            <w:vAlign w:val="center"/>
          </w:tcPr>
          <w:p w14:paraId="02D252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Applicable Regulations</w:t>
            </w:r>
          </w:p>
        </w:tc>
        <w:tc>
          <w:tcPr>
            <w:tcW w:w="0" w:type="auto"/>
            <w:vAlign w:val="center"/>
          </w:tcPr>
          <w:p w14:paraId="3C20C3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</w:tcPr>
          <w:p w14:paraId="1B76E12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Status/Notes</w:t>
            </w:r>
          </w:p>
        </w:tc>
      </w:tr>
      <w:tr w14:paraId="33D387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B89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Central Bank of Kenya (CBK)</w:t>
            </w:r>
          </w:p>
        </w:tc>
        <w:tc>
          <w:tcPr>
            <w:tcW w:w="0" w:type="auto"/>
            <w:vAlign w:val="center"/>
          </w:tcPr>
          <w:p w14:paraId="7215D9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Systems Regulations, AML Guidelines</w:t>
            </w:r>
          </w:p>
        </w:tc>
        <w:tc>
          <w:tcPr>
            <w:tcW w:w="0" w:type="auto"/>
            <w:vAlign w:val="center"/>
          </w:tcPr>
          <w:p w14:paraId="229F5A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Licensing for mobile money operators, AML/KYC adherence, transaction limits reporting</w:t>
            </w:r>
          </w:p>
        </w:tc>
        <w:tc>
          <w:tcPr>
            <w:tcW w:w="0" w:type="auto"/>
            <w:vAlign w:val="center"/>
          </w:tcPr>
          <w:p w14:paraId="1C8B7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Engagement ongoing, requirements mapped</w:t>
            </w:r>
          </w:p>
        </w:tc>
      </w:tr>
      <w:tr w14:paraId="1117A6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68A4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Protection Authority (DPA/KDPA)</w:t>
            </w:r>
          </w:p>
        </w:tc>
        <w:tc>
          <w:tcPr>
            <w:tcW w:w="0" w:type="auto"/>
            <w:vAlign w:val="center"/>
          </w:tcPr>
          <w:p w14:paraId="370810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Kenya Data Protection Act 2019, GDPR (EU if applicable)</w:t>
            </w:r>
          </w:p>
        </w:tc>
        <w:tc>
          <w:tcPr>
            <w:tcW w:w="0" w:type="auto"/>
            <w:vAlign w:val="center"/>
          </w:tcPr>
          <w:p w14:paraId="43E52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data privacy, consent management, data breach notification protocols</w:t>
            </w:r>
          </w:p>
        </w:tc>
        <w:tc>
          <w:tcPr>
            <w:tcW w:w="0" w:type="auto"/>
            <w:vAlign w:val="center"/>
          </w:tcPr>
          <w:p w14:paraId="473150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DPIA completed; encryption enforced</w:t>
            </w:r>
          </w:p>
        </w:tc>
      </w:tr>
      <w:tr w14:paraId="71BBCA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A8BA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Communications Authority of Kenya (CAK)</w:t>
            </w:r>
          </w:p>
        </w:tc>
        <w:tc>
          <w:tcPr>
            <w:tcW w:w="0" w:type="auto"/>
            <w:vAlign w:val="center"/>
          </w:tcPr>
          <w:p w14:paraId="4CC13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Licensing Conditions, OSS/BSS Standards</w:t>
            </w:r>
          </w:p>
        </w:tc>
        <w:tc>
          <w:tcPr>
            <w:tcW w:w="0" w:type="auto"/>
            <w:vAlign w:val="center"/>
          </w:tcPr>
          <w:p w14:paraId="40C7CF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compliance, telecom data handling, interconnectivity standards</w:t>
            </w:r>
          </w:p>
        </w:tc>
        <w:tc>
          <w:tcPr>
            <w:tcW w:w="0" w:type="auto"/>
            <w:vAlign w:val="center"/>
          </w:tcPr>
          <w:p w14:paraId="5FA1C3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Coordination with CAK compliance team</w:t>
            </w:r>
          </w:p>
        </w:tc>
      </w:tr>
      <w:tr w14:paraId="74D466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2C4F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Financial Action Task Force (FATF)</w:t>
            </w:r>
          </w:p>
        </w:tc>
        <w:tc>
          <w:tcPr>
            <w:tcW w:w="0" w:type="auto"/>
            <w:vAlign w:val="center"/>
          </w:tcPr>
          <w:p w14:paraId="6D998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AML/CFT Best Practices</w:t>
            </w:r>
          </w:p>
        </w:tc>
        <w:tc>
          <w:tcPr>
            <w:tcW w:w="0" w:type="auto"/>
            <w:vAlign w:val="center"/>
          </w:tcPr>
          <w:p w14:paraId="593DEE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Risk-based AML controls, transaction monitoring</w:t>
            </w:r>
          </w:p>
        </w:tc>
        <w:tc>
          <w:tcPr>
            <w:tcW w:w="0" w:type="auto"/>
            <w:vAlign w:val="center"/>
          </w:tcPr>
          <w:p w14:paraId="208BEC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AML workflows in design</w:t>
            </w:r>
          </w:p>
        </w:tc>
      </w:tr>
      <w:tr w14:paraId="6A4E4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8673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Other Local/Regional Bodies</w:t>
            </w:r>
          </w:p>
        </w:tc>
        <w:tc>
          <w:tcPr>
            <w:tcW w:w="0" w:type="auto"/>
            <w:vAlign w:val="center"/>
          </w:tcPr>
          <w:p w14:paraId="62764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Tax Authorities, Consumer Protection</w:t>
            </w:r>
          </w:p>
        </w:tc>
        <w:tc>
          <w:tcPr>
            <w:tcW w:w="0" w:type="auto"/>
            <w:vAlign w:val="center"/>
          </w:tcPr>
          <w:p w14:paraId="2CB5F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Tax reporting, consumer complaint handling</w:t>
            </w:r>
          </w:p>
        </w:tc>
        <w:tc>
          <w:tcPr>
            <w:tcW w:w="0" w:type="auto"/>
            <w:vAlign w:val="center"/>
          </w:tcPr>
          <w:p w14:paraId="0C41B5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monitored quarterly</w:t>
            </w:r>
          </w:p>
        </w:tc>
      </w:tr>
    </w:tbl>
    <w:p w14:paraId="629209F5">
      <w:pPr>
        <w:rPr>
          <w:rFonts w:ascii="Times New Roman" w:hAnsi="Times New Roman" w:cs="Times New Roman"/>
        </w:rPr>
      </w:pPr>
    </w:p>
    <w:p w14:paraId="429099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Compliance Highlights</w:t>
      </w:r>
    </w:p>
    <w:p w14:paraId="7D613AE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AML/KYC:</w:t>
      </w:r>
      <w:r>
        <w:rPr>
          <w:rFonts w:ascii="Times New Roman" w:hAnsi="Times New Roman" w:cs="Times New Roman"/>
        </w:rPr>
        <w:t xml:space="preserve"> Automated customer verification linked with national ID databases and ongoing transaction monitoring.</w:t>
      </w:r>
    </w:p>
    <w:p w14:paraId="3226DCB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Security:</w:t>
      </w:r>
      <w:r>
        <w:rPr>
          <w:rFonts w:ascii="Times New Roman" w:hAnsi="Times New Roman" w:cs="Times New Roman"/>
        </w:rPr>
        <w:t xml:space="preserve"> End-to-end encryption (AES-256), secure API gateways, and strict RBAC implemented.</w:t>
      </w:r>
    </w:p>
    <w:p w14:paraId="351504F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Reporting:</w:t>
      </w:r>
      <w:r>
        <w:rPr>
          <w:rFonts w:ascii="Times New Roman" w:hAnsi="Times New Roman" w:cs="Times New Roman"/>
        </w:rPr>
        <w:t xml:space="preserve"> Automated regulatory reports scheduled monthly and ad-hoc for audits.</w:t>
      </w:r>
    </w:p>
    <w:p w14:paraId="73C9D1C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Incident Management:</w:t>
      </w:r>
      <w:r>
        <w:rPr>
          <w:rFonts w:ascii="Times New Roman" w:hAnsi="Times New Roman" w:cs="Times New Roman"/>
        </w:rPr>
        <w:t xml:space="preserve"> Defined breach notification timelines and response protocols.</w:t>
      </w:r>
    </w:p>
    <w:p w14:paraId="0BF2665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Vendor Compliance:</w:t>
      </w:r>
      <w:r>
        <w:rPr>
          <w:rFonts w:ascii="Times New Roman" w:hAnsi="Times New Roman" w:cs="Times New Roman"/>
        </w:rPr>
        <w:t xml:space="preserve"> Third-party MMP partners contractually bound to regulatory adherence.</w:t>
      </w:r>
    </w:p>
    <w:p w14:paraId="64DBEC64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451F8"/>
    <w:multiLevelType w:val="multilevel"/>
    <w:tmpl w:val="2DE45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3E"/>
    <w:rsid w:val="00180A00"/>
    <w:rsid w:val="0028578E"/>
    <w:rsid w:val="0060343E"/>
    <w:rsid w:val="00A35684"/>
    <w:rsid w:val="00D22FF6"/>
    <w:rsid w:val="00DE38F6"/>
    <w:rsid w:val="5AFB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244</Words>
  <Characters>1394</Characters>
  <Lines>11</Lines>
  <Paragraphs>3</Paragraphs>
  <TotalTime>0</TotalTime>
  <ScaleCrop>false</ScaleCrop>
  <LinksUpToDate>false</LinksUpToDate>
  <CharactersWithSpaces>1635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2025-07-28T17:48:00Z</dcterms:created>
  <dc:creator>168236-Barbara Malei</dc:creator>
  <cp:lastModifiedBy>ADMIN</cp:lastModifiedBy>
  <dcterms:modified xsi:type="dcterms:W3CDTF">2025-11-09T19:19:48Z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FCA8CDED5BAE49F681EDF7DBEACF74B8_12</vt:lpwstr>
  </property>
</Properties>
</file>