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6F25" w:rsidRPr="00C66F25" w:rsidRDefault="00C66F25" w:rsidP="00C66F25">
      <w:pPr>
        <w:rPr>
          <w:rFonts w:ascii="Times New Roman" w:hAnsi="Times New Roman" w:cs="Times New Roman"/>
          <w:b/>
          <w:bCs/>
        </w:rPr>
      </w:pPr>
      <w:r w:rsidRPr="00C66F25">
        <w:rPr>
          <w:rFonts w:ascii="Times New Roman" w:hAnsi="Times New Roman" w:cs="Times New Roman"/>
          <w:b/>
          <w:bCs/>
        </w:rPr>
        <w:t xml:space="preserve"> Project Governance Structure</w:t>
      </w:r>
    </w:p>
    <w:p w:rsidR="00C66F25" w:rsidRPr="00C66F25" w:rsidRDefault="00C66F25" w:rsidP="00C66F25">
      <w:pPr>
        <w:rPr>
          <w:rFonts w:ascii="Times New Roman" w:hAnsi="Times New Roman" w:cs="Times New Roman"/>
        </w:rPr>
      </w:pPr>
      <w:r w:rsidRPr="00C66F25">
        <w:rPr>
          <w:rFonts w:ascii="Times New Roman" w:hAnsi="Times New Roman" w:cs="Times New Roman"/>
          <w:b/>
          <w:bCs/>
        </w:rPr>
        <w:t>Project:</w:t>
      </w:r>
      <w:r w:rsidRPr="00C66F25">
        <w:rPr>
          <w:rFonts w:ascii="Times New Roman" w:hAnsi="Times New Roman" w:cs="Times New Roman"/>
        </w:rPr>
        <w:t xml:space="preserve"> Mobile Money Platform Integration for </w:t>
      </w:r>
      <w:proofErr w:type="spellStart"/>
      <w:r w:rsidRPr="00C66F25">
        <w:rPr>
          <w:rFonts w:ascii="Times New Roman" w:hAnsi="Times New Roman" w:cs="Times New Roman"/>
        </w:rPr>
        <w:t>ATelco</w:t>
      </w:r>
      <w:proofErr w:type="spellEnd"/>
      <w:r w:rsidRPr="00C66F25">
        <w:rPr>
          <w:rFonts w:ascii="Times New Roman" w:hAnsi="Times New Roman" w:cs="Times New Roman"/>
        </w:rPr>
        <w:br/>
      </w:r>
      <w:r w:rsidRPr="00C66F25">
        <w:rPr>
          <w:rFonts w:ascii="Times New Roman" w:hAnsi="Times New Roman" w:cs="Times New Roman"/>
          <w:b/>
          <w:bCs/>
        </w:rPr>
        <w:t>Date:</w:t>
      </w:r>
      <w:r w:rsidRPr="00C66F25">
        <w:rPr>
          <w:rFonts w:ascii="Times New Roman" w:hAnsi="Times New Roman" w:cs="Times New Roman"/>
        </w:rPr>
        <w:t xml:space="preserve"> [Insert Date]</w:t>
      </w:r>
      <w:r w:rsidRPr="00C66F25">
        <w:rPr>
          <w:rFonts w:ascii="Times New Roman" w:hAnsi="Times New Roman" w:cs="Times New Roman"/>
        </w:rPr>
        <w:br/>
      </w:r>
      <w:r w:rsidRPr="00C66F25">
        <w:rPr>
          <w:rFonts w:ascii="Times New Roman" w:hAnsi="Times New Roman" w:cs="Times New Roman"/>
          <w:b/>
          <w:bCs/>
        </w:rPr>
        <w:t>Prepared By:</w:t>
      </w:r>
      <w:r w:rsidRPr="00C66F25">
        <w:rPr>
          <w:rFonts w:ascii="Times New Roman" w:hAnsi="Times New Roman" w:cs="Times New Roman"/>
        </w:rPr>
        <w:t xml:space="preserve"> PMO</w:t>
      </w:r>
    </w:p>
    <w:p w:rsidR="00C66F25" w:rsidRPr="00C66F25" w:rsidRDefault="00C66F25" w:rsidP="00C66F25">
      <w:pPr>
        <w:rPr>
          <w:rFonts w:ascii="Times New Roman" w:hAnsi="Times New Roman" w:cs="Times New Roman"/>
          <w:b/>
          <w:bCs/>
        </w:rPr>
      </w:pPr>
      <w:r w:rsidRPr="00C66F25">
        <w:rPr>
          <w:rFonts w:ascii="Times New Roman" w:hAnsi="Times New Roman" w:cs="Times New Roman"/>
          <w:b/>
          <w:bCs/>
        </w:rPr>
        <w:t>Governance Overview</w:t>
      </w:r>
    </w:p>
    <w:p w:rsidR="00C66F25" w:rsidRPr="00C66F25" w:rsidRDefault="00C66F25" w:rsidP="00C66F25">
      <w:pPr>
        <w:rPr>
          <w:rFonts w:ascii="Times New Roman" w:hAnsi="Times New Roman" w:cs="Times New Roman"/>
        </w:rPr>
      </w:pPr>
      <w:r w:rsidRPr="00C66F25">
        <w:rPr>
          <w:rFonts w:ascii="Times New Roman" w:hAnsi="Times New Roman" w:cs="Times New Roman"/>
        </w:rPr>
        <w:t>The governance framework ensures clear accountability, timely decision-making, risk oversight, and compliance adherence throughout the integration project. It includes representatives from Mobile Money providers, Telecom business units, IT, and Regulatory compliance.</w:t>
      </w:r>
    </w:p>
    <w:p w:rsidR="00C66F25" w:rsidRPr="00C66F25" w:rsidRDefault="00C66F25" w:rsidP="00C66F25">
      <w:pPr>
        <w:rPr>
          <w:rFonts w:ascii="Times New Roman" w:hAnsi="Times New Roman" w:cs="Times New Roman"/>
          <w:b/>
          <w:bCs/>
        </w:rPr>
      </w:pPr>
      <w:r w:rsidRPr="00C66F25">
        <w:rPr>
          <w:rFonts w:ascii="Times New Roman" w:hAnsi="Times New Roman" w:cs="Times New Roman"/>
          <w:b/>
          <w:bCs/>
        </w:rPr>
        <w:t>Governance Bodies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3559"/>
        <w:gridCol w:w="2507"/>
        <w:gridCol w:w="1356"/>
      </w:tblGrid>
      <w:tr w:rsidR="00C66F25" w:rsidRPr="00C66F25" w:rsidTr="00C66F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Governance Body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Members/Representatives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Frequency of Meetings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Project Steering Committee (PSC)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Executive Sponsor, CIO, Finance Director, Legal Head, Mobile Money Partner Exec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Provide strategic direction, approve major changes, monitor project health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Monthly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Project Management Office (PMO)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Project Manager, PMO Analyst, Risk Manager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Project planning, execution monitoring, reporting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Weekly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Technical Integration Committee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IT Leads (ERP, OSS/BSS), Mobile Money API Experts, Security Officer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Review technical designs, integration issues, test plans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Bi-weekly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Compliance &amp; Regulatory Board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Legal Counsel, Compliance Officer, Data Protection Officer, External Auditor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Ensure regulatory adherence, approve audit plans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Monthly or as needed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Change Control Board (CCB)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PMO, IT Leads, Business Owner, Vendor Representatives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Review and approve scope changes and risk impacts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Ad-hoc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Operational Readiness &amp; Training Committee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Operations Manager, Training Lead, Customer Care Head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Oversee training plans, user readiness, support transition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Monthly</w:t>
            </w:r>
          </w:p>
        </w:tc>
      </w:tr>
    </w:tbl>
    <w:p w:rsidR="00C66F25" w:rsidRPr="00C66F25" w:rsidRDefault="00C66F25" w:rsidP="00C66F25">
      <w:pPr>
        <w:rPr>
          <w:rFonts w:ascii="Times New Roman" w:hAnsi="Times New Roman" w:cs="Times New Roman"/>
        </w:rPr>
      </w:pPr>
    </w:p>
    <w:p w:rsidR="00C66F25" w:rsidRPr="00C66F25" w:rsidRDefault="00C66F25" w:rsidP="00C66F25">
      <w:pPr>
        <w:rPr>
          <w:rFonts w:ascii="Times New Roman" w:hAnsi="Times New Roman" w:cs="Times New Roman"/>
          <w:b/>
          <w:bCs/>
        </w:rPr>
      </w:pPr>
      <w:r w:rsidRPr="00C66F25">
        <w:rPr>
          <w:rFonts w:ascii="Times New Roman" w:hAnsi="Times New Roman" w:cs="Times New Roman"/>
          <w:b/>
          <w:bCs/>
        </w:rPr>
        <w:lastRenderedPageBreak/>
        <w:t>RACI Summary for Key Activities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1171"/>
        <w:gridCol w:w="620"/>
        <w:gridCol w:w="728"/>
        <w:gridCol w:w="1287"/>
        <w:gridCol w:w="1380"/>
        <w:gridCol w:w="874"/>
        <w:gridCol w:w="1222"/>
      </w:tblGrid>
      <w:tr w:rsidR="00C66F25" w:rsidRPr="00C66F25" w:rsidTr="00C66F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PMO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IT Team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Mobile Money Partner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  <w:b/>
                <w:bCs/>
              </w:rPr>
            </w:pPr>
            <w:r w:rsidRPr="00C66F25">
              <w:rPr>
                <w:rFonts w:ascii="Times New Roman" w:hAnsi="Times New Roman" w:cs="Times New Roman"/>
                <w:b/>
                <w:bCs/>
              </w:rPr>
              <w:t>Operations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Define Project Scope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Approve Budget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Technical Integration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Compliance &amp; Regulatory Approval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User Training &amp; Support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</w:t>
            </w:r>
          </w:p>
        </w:tc>
      </w:tr>
      <w:tr w:rsidR="00C66F25" w:rsidRPr="00C66F25" w:rsidTr="00C66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Project Closure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66F25" w:rsidRPr="00C66F25" w:rsidRDefault="00C66F25" w:rsidP="00C66F25">
            <w:pPr>
              <w:rPr>
                <w:rFonts w:ascii="Times New Roman" w:hAnsi="Times New Roman" w:cs="Times New Roman"/>
              </w:rPr>
            </w:pPr>
            <w:r w:rsidRPr="00C66F25">
              <w:rPr>
                <w:rFonts w:ascii="Times New Roman" w:hAnsi="Times New Roman" w:cs="Times New Roman"/>
              </w:rPr>
              <w:t>I</w:t>
            </w:r>
          </w:p>
        </w:tc>
      </w:tr>
    </w:tbl>
    <w:p w:rsidR="00C66F25" w:rsidRPr="00C66F25" w:rsidRDefault="00C66F25" w:rsidP="00C66F25">
      <w:pPr>
        <w:rPr>
          <w:rFonts w:ascii="Times New Roman" w:hAnsi="Times New Roman" w:cs="Times New Roman"/>
        </w:rPr>
      </w:pPr>
    </w:p>
    <w:sectPr w:rsidR="00C66F25" w:rsidRPr="00C6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25"/>
    <w:rsid w:val="00180A00"/>
    <w:rsid w:val="0028578E"/>
    <w:rsid w:val="00A35684"/>
    <w:rsid w:val="00C66F2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BF22"/>
  <w15:chartTrackingRefBased/>
  <w15:docId w15:val="{7B0B8AF1-0A18-4165-91E6-6822EFA2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2025-07-28T17:45:00Z</dcterms:created>
  <dcterms:modified xsi:type="dcterms:W3CDTF">2025-07-28T17:47:00Z</dcterms:modified>
</cp:coreProperties>
</file>