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6893" w:rsidRPr="00BF4150" w:rsidRDefault="00756893" w:rsidP="00756893">
      <w:pPr>
        <w:rPr>
          <w:rFonts w:ascii="Times New Roman" w:hAnsi="Times New Roman" w:cs="Times New Roman"/>
          <w:b/>
          <w:bCs/>
        </w:rPr>
      </w:pPr>
      <w:r w:rsidRPr="00BF4150">
        <w:rPr>
          <w:rFonts w:ascii="Times New Roman" w:hAnsi="Times New Roman" w:cs="Times New Roman"/>
          <w:b/>
          <w:bCs/>
        </w:rPr>
        <w:t>Stakeholder Register</w:t>
      </w:r>
    </w:p>
    <w:p w:rsidR="00756893" w:rsidRPr="00BF4150" w:rsidRDefault="00756893" w:rsidP="00756893">
      <w:pPr>
        <w:rPr>
          <w:rFonts w:ascii="Times New Roman" w:hAnsi="Times New Roman" w:cs="Times New Roman"/>
        </w:rPr>
      </w:pPr>
      <w:r w:rsidRPr="00BF4150">
        <w:rPr>
          <w:rFonts w:ascii="Times New Roman" w:hAnsi="Times New Roman" w:cs="Times New Roman"/>
          <w:b/>
          <w:bCs/>
        </w:rPr>
        <w:t>Project:</w:t>
      </w:r>
      <w:r w:rsidRPr="00BF4150">
        <w:rPr>
          <w:rFonts w:ascii="Times New Roman" w:hAnsi="Times New Roman" w:cs="Times New Roman"/>
        </w:rPr>
        <w:t xml:space="preserve"> Mobile Money Platform Integration for </w:t>
      </w:r>
      <w:proofErr w:type="spellStart"/>
      <w:r w:rsidRPr="00BF4150">
        <w:rPr>
          <w:rFonts w:ascii="Times New Roman" w:hAnsi="Times New Roman" w:cs="Times New Roman"/>
        </w:rPr>
        <w:t>ATelco</w:t>
      </w:r>
      <w:proofErr w:type="spellEnd"/>
      <w:r w:rsidRPr="00BF4150">
        <w:rPr>
          <w:rFonts w:ascii="Times New Roman" w:hAnsi="Times New Roman" w:cs="Times New Roman"/>
        </w:rPr>
        <w:br/>
      </w:r>
      <w:r w:rsidRPr="00BF4150">
        <w:rPr>
          <w:rFonts w:ascii="Times New Roman" w:hAnsi="Times New Roman" w:cs="Times New Roman"/>
          <w:b/>
          <w:bCs/>
        </w:rPr>
        <w:t>Date:</w:t>
      </w:r>
      <w:r w:rsidRPr="00BF4150">
        <w:rPr>
          <w:rFonts w:ascii="Times New Roman" w:hAnsi="Times New Roman" w:cs="Times New Roman"/>
        </w:rPr>
        <w:t xml:space="preserve"> [Insert Date]</w:t>
      </w:r>
      <w:r w:rsidRPr="00BF4150">
        <w:rPr>
          <w:rFonts w:ascii="Times New Roman" w:hAnsi="Times New Roman" w:cs="Times New Roman"/>
        </w:rPr>
        <w:br/>
      </w:r>
      <w:r w:rsidRPr="00BF4150">
        <w:rPr>
          <w:rFonts w:ascii="Times New Roman" w:hAnsi="Times New Roman" w:cs="Times New Roman"/>
          <w:b/>
          <w:bCs/>
        </w:rPr>
        <w:t>Prepared By:</w:t>
      </w:r>
      <w:r w:rsidRPr="00BF4150">
        <w:rPr>
          <w:rFonts w:ascii="Times New Roman" w:hAnsi="Times New Roman" w:cs="Times New Roman"/>
        </w:rPr>
        <w:t xml:space="preserve"> Project Management Office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2412"/>
        <w:gridCol w:w="2053"/>
        <w:gridCol w:w="1180"/>
        <w:gridCol w:w="2041"/>
      </w:tblGrid>
      <w:tr w:rsidR="00756893" w:rsidRPr="00BF4150" w:rsidTr="00D827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6893" w:rsidRPr="00BF4150" w:rsidRDefault="00756893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BF4150">
              <w:rPr>
                <w:rFonts w:ascii="Times New Roman" w:hAnsi="Times New Roman" w:cs="Times New Roman"/>
                <w:b/>
                <w:bCs/>
              </w:rPr>
              <w:t>Stakeholder Category</w:t>
            </w:r>
          </w:p>
        </w:tc>
        <w:tc>
          <w:tcPr>
            <w:tcW w:w="0" w:type="auto"/>
            <w:vAlign w:val="center"/>
            <w:hideMark/>
          </w:tcPr>
          <w:p w:rsidR="00756893" w:rsidRPr="00BF4150" w:rsidRDefault="00756893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BF4150">
              <w:rPr>
                <w:rFonts w:ascii="Times New Roman" w:hAnsi="Times New Roman" w:cs="Times New Roman"/>
                <w:b/>
                <w:bCs/>
              </w:rPr>
              <w:t>Name / Group</w:t>
            </w:r>
          </w:p>
        </w:tc>
        <w:tc>
          <w:tcPr>
            <w:tcW w:w="0" w:type="auto"/>
            <w:vAlign w:val="center"/>
            <w:hideMark/>
          </w:tcPr>
          <w:p w:rsidR="00756893" w:rsidRPr="00BF4150" w:rsidRDefault="00756893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BF4150">
              <w:rPr>
                <w:rFonts w:ascii="Times New Roman" w:hAnsi="Times New Roman" w:cs="Times New Roman"/>
                <w:b/>
                <w:bCs/>
              </w:rPr>
              <w:t>Role / Interest</w:t>
            </w:r>
          </w:p>
        </w:tc>
        <w:tc>
          <w:tcPr>
            <w:tcW w:w="0" w:type="auto"/>
            <w:vAlign w:val="center"/>
            <w:hideMark/>
          </w:tcPr>
          <w:p w:rsidR="00756893" w:rsidRPr="00BF4150" w:rsidRDefault="00756893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BF4150">
              <w:rPr>
                <w:rFonts w:ascii="Times New Roman" w:hAnsi="Times New Roman" w:cs="Times New Roman"/>
                <w:b/>
                <w:bCs/>
              </w:rPr>
              <w:t>Influence Level</w:t>
            </w:r>
          </w:p>
        </w:tc>
        <w:tc>
          <w:tcPr>
            <w:tcW w:w="0" w:type="auto"/>
            <w:vAlign w:val="center"/>
            <w:hideMark/>
          </w:tcPr>
          <w:p w:rsidR="00756893" w:rsidRPr="00BF4150" w:rsidRDefault="00756893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BF4150">
              <w:rPr>
                <w:rFonts w:ascii="Times New Roman" w:hAnsi="Times New Roman" w:cs="Times New Roman"/>
                <w:b/>
                <w:bCs/>
              </w:rPr>
              <w:t>Engagement Strategy</w:t>
            </w:r>
          </w:p>
        </w:tc>
      </w:tr>
      <w:tr w:rsidR="00756893" w:rsidRPr="00BF4150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893" w:rsidRPr="00BF4150" w:rsidRDefault="00756893" w:rsidP="00D8276A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Regulators</w:t>
            </w:r>
          </w:p>
        </w:tc>
        <w:tc>
          <w:tcPr>
            <w:tcW w:w="0" w:type="auto"/>
            <w:vAlign w:val="center"/>
            <w:hideMark/>
          </w:tcPr>
          <w:p w:rsidR="00756893" w:rsidRPr="00BF4150" w:rsidRDefault="00756893" w:rsidP="00D8276A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Communications Authority of Kenya (CAK)</w:t>
            </w:r>
          </w:p>
        </w:tc>
        <w:tc>
          <w:tcPr>
            <w:tcW w:w="0" w:type="auto"/>
            <w:vAlign w:val="center"/>
            <w:hideMark/>
          </w:tcPr>
          <w:p w:rsidR="00756893" w:rsidRPr="00BF4150" w:rsidRDefault="00756893" w:rsidP="00D8276A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Compliance oversight</w:t>
            </w:r>
          </w:p>
        </w:tc>
        <w:tc>
          <w:tcPr>
            <w:tcW w:w="0" w:type="auto"/>
            <w:vAlign w:val="center"/>
            <w:hideMark/>
          </w:tcPr>
          <w:p w:rsidR="00756893" w:rsidRPr="00BF4150" w:rsidRDefault="00756893" w:rsidP="00D8276A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756893" w:rsidRPr="00BF4150" w:rsidRDefault="00756893" w:rsidP="00D8276A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Regular compliance reporting &amp; liaison</w:t>
            </w:r>
          </w:p>
        </w:tc>
      </w:tr>
      <w:tr w:rsidR="00756893" w:rsidRPr="00BF4150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893" w:rsidRPr="00BF4150" w:rsidRDefault="00756893" w:rsidP="00D8276A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Banks &amp; Financial Partners</w:t>
            </w:r>
          </w:p>
        </w:tc>
        <w:tc>
          <w:tcPr>
            <w:tcW w:w="0" w:type="auto"/>
            <w:vAlign w:val="center"/>
            <w:hideMark/>
          </w:tcPr>
          <w:p w:rsidR="00756893" w:rsidRPr="00BF4150" w:rsidRDefault="00756893" w:rsidP="00D8276A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Central Bank of Kenya (CBK), Partner Banks</w:t>
            </w:r>
          </w:p>
        </w:tc>
        <w:tc>
          <w:tcPr>
            <w:tcW w:w="0" w:type="auto"/>
            <w:vAlign w:val="center"/>
            <w:hideMark/>
          </w:tcPr>
          <w:p w:rsidR="00756893" w:rsidRPr="00BF4150" w:rsidRDefault="00756893" w:rsidP="00D8276A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Regulatory &amp; settlement roles</w:t>
            </w:r>
          </w:p>
        </w:tc>
        <w:tc>
          <w:tcPr>
            <w:tcW w:w="0" w:type="auto"/>
            <w:vAlign w:val="center"/>
            <w:hideMark/>
          </w:tcPr>
          <w:p w:rsidR="00756893" w:rsidRPr="00BF4150" w:rsidRDefault="00756893" w:rsidP="00D8276A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756893" w:rsidRPr="00BF4150" w:rsidRDefault="00756893" w:rsidP="00D8276A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Periodic audit and coordination meetings</w:t>
            </w:r>
          </w:p>
        </w:tc>
      </w:tr>
      <w:tr w:rsidR="00756893" w:rsidRPr="00BF4150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893" w:rsidRPr="00BF4150" w:rsidRDefault="00756893" w:rsidP="00D8276A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Telecom Units</w:t>
            </w:r>
          </w:p>
        </w:tc>
        <w:tc>
          <w:tcPr>
            <w:tcW w:w="0" w:type="auto"/>
            <w:vAlign w:val="center"/>
            <w:hideMark/>
          </w:tcPr>
          <w:p w:rsidR="00756893" w:rsidRPr="00BF4150" w:rsidRDefault="00756893" w:rsidP="00D8276A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Billing, CRM, IT, Network Ops</w:t>
            </w:r>
          </w:p>
        </w:tc>
        <w:tc>
          <w:tcPr>
            <w:tcW w:w="0" w:type="auto"/>
            <w:vAlign w:val="center"/>
            <w:hideMark/>
          </w:tcPr>
          <w:p w:rsidR="00756893" w:rsidRPr="00BF4150" w:rsidRDefault="00756893" w:rsidP="00D8276A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Solution users &amp; maintainers</w:t>
            </w:r>
          </w:p>
        </w:tc>
        <w:tc>
          <w:tcPr>
            <w:tcW w:w="0" w:type="auto"/>
            <w:vAlign w:val="center"/>
            <w:hideMark/>
          </w:tcPr>
          <w:p w:rsidR="00756893" w:rsidRPr="00BF4150" w:rsidRDefault="00756893" w:rsidP="00D8276A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756893" w:rsidRPr="00BF4150" w:rsidRDefault="00756893" w:rsidP="00D8276A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Weekly status updates, workshops</w:t>
            </w:r>
          </w:p>
        </w:tc>
      </w:tr>
      <w:tr w:rsidR="00756893" w:rsidRPr="00BF4150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893" w:rsidRPr="00BF4150" w:rsidRDefault="00756893" w:rsidP="00D8276A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Mobile Money Providers</w:t>
            </w:r>
          </w:p>
        </w:tc>
        <w:tc>
          <w:tcPr>
            <w:tcW w:w="0" w:type="auto"/>
            <w:vAlign w:val="center"/>
            <w:hideMark/>
          </w:tcPr>
          <w:p w:rsidR="00756893" w:rsidRPr="00BF4150" w:rsidRDefault="00756893" w:rsidP="00D8276A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Safaricom (M-PESA), Airtel Money</w:t>
            </w:r>
          </w:p>
        </w:tc>
        <w:tc>
          <w:tcPr>
            <w:tcW w:w="0" w:type="auto"/>
            <w:vAlign w:val="center"/>
            <w:hideMark/>
          </w:tcPr>
          <w:p w:rsidR="00756893" w:rsidRPr="00BF4150" w:rsidRDefault="00756893" w:rsidP="00D8276A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API providers &amp; technical partners</w:t>
            </w:r>
          </w:p>
        </w:tc>
        <w:tc>
          <w:tcPr>
            <w:tcW w:w="0" w:type="auto"/>
            <w:vAlign w:val="center"/>
            <w:hideMark/>
          </w:tcPr>
          <w:p w:rsidR="00756893" w:rsidRPr="00BF4150" w:rsidRDefault="00756893" w:rsidP="00D8276A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756893" w:rsidRPr="00BF4150" w:rsidRDefault="00756893" w:rsidP="00D8276A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Technical integration sync meetings</w:t>
            </w:r>
          </w:p>
        </w:tc>
      </w:tr>
      <w:tr w:rsidR="00756893" w:rsidRPr="00BF4150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893" w:rsidRPr="00BF4150" w:rsidRDefault="00756893" w:rsidP="00D8276A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Vendors &amp; Contractors</w:t>
            </w:r>
          </w:p>
        </w:tc>
        <w:tc>
          <w:tcPr>
            <w:tcW w:w="0" w:type="auto"/>
            <w:vAlign w:val="center"/>
            <w:hideMark/>
          </w:tcPr>
          <w:p w:rsidR="00756893" w:rsidRPr="00BF4150" w:rsidRDefault="00756893" w:rsidP="00D8276A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Integration partners, Security Vendors</w:t>
            </w:r>
          </w:p>
        </w:tc>
        <w:tc>
          <w:tcPr>
            <w:tcW w:w="0" w:type="auto"/>
            <w:vAlign w:val="center"/>
            <w:hideMark/>
          </w:tcPr>
          <w:p w:rsidR="00756893" w:rsidRPr="00BF4150" w:rsidRDefault="00756893" w:rsidP="00D8276A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Implementation and support</w:t>
            </w:r>
          </w:p>
        </w:tc>
        <w:tc>
          <w:tcPr>
            <w:tcW w:w="0" w:type="auto"/>
            <w:vAlign w:val="center"/>
            <w:hideMark/>
          </w:tcPr>
          <w:p w:rsidR="00756893" w:rsidRPr="00BF4150" w:rsidRDefault="00756893" w:rsidP="00D8276A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756893" w:rsidRPr="00BF4150" w:rsidRDefault="00756893" w:rsidP="00D8276A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Contractual reporting and escalation</w:t>
            </w:r>
          </w:p>
        </w:tc>
      </w:tr>
      <w:tr w:rsidR="00756893" w:rsidRPr="00BF4150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893" w:rsidRPr="00BF4150" w:rsidRDefault="00756893" w:rsidP="00D8276A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Customers</w:t>
            </w:r>
          </w:p>
        </w:tc>
        <w:tc>
          <w:tcPr>
            <w:tcW w:w="0" w:type="auto"/>
            <w:vAlign w:val="center"/>
            <w:hideMark/>
          </w:tcPr>
          <w:p w:rsidR="00756893" w:rsidRPr="00BF4150" w:rsidRDefault="00756893" w:rsidP="00D8276A">
            <w:pPr>
              <w:rPr>
                <w:rFonts w:ascii="Times New Roman" w:hAnsi="Times New Roman" w:cs="Times New Roman"/>
              </w:rPr>
            </w:pPr>
            <w:proofErr w:type="spellStart"/>
            <w:r w:rsidRPr="00BF4150">
              <w:rPr>
                <w:rFonts w:ascii="Times New Roman" w:hAnsi="Times New Roman" w:cs="Times New Roman"/>
              </w:rPr>
              <w:t>ATelco</w:t>
            </w:r>
            <w:proofErr w:type="spellEnd"/>
            <w:r w:rsidRPr="00BF4150">
              <w:rPr>
                <w:rFonts w:ascii="Times New Roman" w:hAnsi="Times New Roman" w:cs="Times New Roman"/>
              </w:rPr>
              <w:t xml:space="preserve"> subscribers</w:t>
            </w:r>
          </w:p>
        </w:tc>
        <w:tc>
          <w:tcPr>
            <w:tcW w:w="0" w:type="auto"/>
            <w:vAlign w:val="center"/>
            <w:hideMark/>
          </w:tcPr>
          <w:p w:rsidR="00756893" w:rsidRPr="00BF4150" w:rsidRDefault="00756893" w:rsidP="00D8276A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End-users</w:t>
            </w:r>
          </w:p>
        </w:tc>
        <w:tc>
          <w:tcPr>
            <w:tcW w:w="0" w:type="auto"/>
            <w:vAlign w:val="center"/>
            <w:hideMark/>
          </w:tcPr>
          <w:p w:rsidR="00756893" w:rsidRPr="00BF4150" w:rsidRDefault="00756893" w:rsidP="00D8276A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756893" w:rsidRPr="00BF4150" w:rsidRDefault="00756893" w:rsidP="00D8276A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Surveys, feedback forums, user training</w:t>
            </w:r>
          </w:p>
        </w:tc>
      </w:tr>
      <w:tr w:rsidR="00756893" w:rsidRPr="00BF4150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893" w:rsidRPr="00BF4150" w:rsidRDefault="00756893" w:rsidP="00D8276A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Internal Compliance Team</w:t>
            </w:r>
          </w:p>
        </w:tc>
        <w:tc>
          <w:tcPr>
            <w:tcW w:w="0" w:type="auto"/>
            <w:vAlign w:val="center"/>
            <w:hideMark/>
          </w:tcPr>
          <w:p w:rsidR="00756893" w:rsidRPr="00BF4150" w:rsidRDefault="00756893" w:rsidP="00D8276A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Legal and Risk Management</w:t>
            </w:r>
          </w:p>
        </w:tc>
        <w:tc>
          <w:tcPr>
            <w:tcW w:w="0" w:type="auto"/>
            <w:vAlign w:val="center"/>
            <w:hideMark/>
          </w:tcPr>
          <w:p w:rsidR="00756893" w:rsidRPr="00BF4150" w:rsidRDefault="00756893" w:rsidP="00D8276A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Ensure regulatory adherence</w:t>
            </w:r>
          </w:p>
        </w:tc>
        <w:tc>
          <w:tcPr>
            <w:tcW w:w="0" w:type="auto"/>
            <w:vAlign w:val="center"/>
            <w:hideMark/>
          </w:tcPr>
          <w:p w:rsidR="00756893" w:rsidRPr="00BF4150" w:rsidRDefault="00756893" w:rsidP="00D8276A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756893" w:rsidRPr="00BF4150" w:rsidRDefault="00756893" w:rsidP="00D8276A">
            <w:pPr>
              <w:rPr>
                <w:rFonts w:ascii="Times New Roman" w:hAnsi="Times New Roman" w:cs="Times New Roman"/>
              </w:rPr>
            </w:pPr>
            <w:r w:rsidRPr="00BF4150">
              <w:rPr>
                <w:rFonts w:ascii="Times New Roman" w:hAnsi="Times New Roman" w:cs="Times New Roman"/>
              </w:rPr>
              <w:t>Compliance reviews, risk assessments</w:t>
            </w:r>
          </w:p>
        </w:tc>
      </w:tr>
    </w:tbl>
    <w:p w:rsidR="00756893" w:rsidRPr="00BF4150" w:rsidRDefault="00756893" w:rsidP="00756893">
      <w:pPr>
        <w:rPr>
          <w:rFonts w:ascii="Times New Roman" w:hAnsi="Times New Roman" w:cs="Times New Roman"/>
        </w:rPr>
      </w:pPr>
    </w:p>
    <w:p w:rsidR="00756893" w:rsidRPr="00756893" w:rsidRDefault="00756893" w:rsidP="00756893">
      <w:pPr>
        <w:rPr>
          <w:rFonts w:ascii="Times New Roman" w:hAnsi="Times New Roman" w:cs="Times New Roman"/>
        </w:rPr>
      </w:pPr>
    </w:p>
    <w:p w:rsidR="00DE38F6" w:rsidRPr="00756893" w:rsidRDefault="00DE38F6">
      <w:pPr>
        <w:rPr>
          <w:rFonts w:ascii="Times New Roman" w:hAnsi="Times New Roman" w:cs="Times New Roman"/>
        </w:rPr>
      </w:pPr>
    </w:p>
    <w:sectPr w:rsidR="00DE38F6" w:rsidRPr="00756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93"/>
    <w:rsid w:val="00180A00"/>
    <w:rsid w:val="0028578E"/>
    <w:rsid w:val="00756893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8C043-0DE7-4FFA-8EB4-9C4F17A6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893"/>
  </w:style>
  <w:style w:type="paragraph" w:styleId="Heading1">
    <w:name w:val="heading 1"/>
    <w:basedOn w:val="Normal"/>
    <w:next w:val="Normal"/>
    <w:link w:val="Heading1Char"/>
    <w:uiPriority w:val="9"/>
    <w:qFormat/>
    <w:rsid w:val="00756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8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8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8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8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8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8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8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8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8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8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8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2025-07-28T17:41:00Z</dcterms:created>
  <dcterms:modified xsi:type="dcterms:W3CDTF">2025-07-28T17:41:00Z</dcterms:modified>
</cp:coreProperties>
</file>